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 xml:space="preserve">None of the </w:t>
            </w:r>
            <w:r>
              <w:t>30</w:t>
            </w:r>
            <w:r>
              <w:t xml:space="preserve"> placed sectors of the United States sits in the two low-energy-security corners. Its lowest Energy Security percentile is in </w:t>
            </w:r>
            <w:r>
              <w:t>midstream green hydrogen</w:t>
            </w:r>
            <w:r>
              <w:t xml:space="preserve">, where its score equals the sector median of </w:t>
            </w:r>
            <w:r>
              <w:t>0.26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highest Economic Opportunity percentiles are in </w:t>
            </w:r>
            <w:r>
              <w:t>upstream gas</w:t>
            </w:r>
            <w:r>
              <w:t xml:space="preserve"> and </w:t>
            </w:r>
            <w:r>
              <w:t>downstream gas</w:t>
            </w:r>
            <w:r>
              <w:t xml:space="preserve">, where it scores higher than </w:t>
            </w:r>
            <w:r>
              <w:t>100%</w:t>
            </w:r>
            <w:r>
              <w:t xml:space="preserve"> and </w:t>
            </w:r>
            <w:r>
              <w:t>100%</w:t>
            </w:r>
            <w:r>
              <w:t xml:space="preserve"> of the other economies scored; the size of its production lifts both.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On the paper's weighting, its top Strategic Index sectors among its own sectors are </w:t>
            </w:r>
            <w:r>
              <w:t>midstream batteries</w:t>
            </w:r>
            <w:r>
              <w:t xml:space="preserve"> and </w:t>
            </w:r>
            <w:r>
              <w:t>downstream batteries</w:t>
            </w:r>
            <w:r>
              <w:t xml:space="preserve">, almost tied; both fall among its sectors with the </w:t>
            </w:r>
            <w:r>
              <w:t>most policy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The Partnership Strength Index rates the </w:t>
            </w:r>
            <w:r>
              <w:t>United Kingdom</w:t>
            </w:r>
            <w:r>
              <w:t xml:space="preserve"> highest for the United States, as a </w:t>
            </w:r>
            <w:r>
              <w:t>reliable supplier</w:t>
            </w:r>
            <w:r>
              <w:t xml:space="preserve">. </w:t>
            </w:r>
            <w:r>
              <w:t>Canada</w:t>
            </w:r>
            <w:r>
              <w:t xml:space="preserve">, ranked </w:t>
            </w:r>
            <w:r>
              <w:t>2nd</w:t>
            </w:r>
            <w:r>
              <w:t xml:space="preserve">, is </w:t>
            </w:r>
            <w:r>
              <w:t>a priority partner with strong ties today</w:t>
            </w:r>
            <w:r>
              <w:t xml:space="preserve">, while </w:t>
            </w:r>
            <w:r>
              <w:t>China</w:t>
            </w:r>
            <w:r>
              <w:t xml:space="preserve"> is </w:t>
            </w:r>
            <w:r>
              <w:t>a strong tie today that the index ranks lower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 xml:space="preserve">Of the </w:t>
      </w:r>
      <w:r>
        <w:t>30</w:t>
      </w:r>
      <w:r>
        <w:t xml:space="preserve"> placed sectors of the United States, </w:t>
      </w:r>
      <w:r>
        <w:t>0</w:t>
      </w:r>
      <w:r>
        <w:t xml:space="preserve"> sit in the two low-energy-security corners and </w:t>
      </w:r>
      <w:r>
        <w:t>30</w:t>
      </w:r>
      <w:r>
        <w:t xml:space="preserve"> in the Grow corner, which pairs high opportunity with high energy security. The sectors below are where it compares least well with other economies; none falls below the sector median.</w:t>
      </w:r>
      <w:r>
        <w:rPr>
          <w:color w:val="4B5563"/>
          <w:vertAlign w:val="superscript"/>
        </w:rPr>
        <w:t>1</w:t>
      </w:r>
    </w:p>
    <w:p>
      <w:r>
        <w:t xml:space="preserve">Its lowest Energy Security percentiles are in </w:t>
      </w:r>
      <w:r>
        <w:t>midstream green hydrogen</w:t>
      </w:r>
      <w:r>
        <w:t xml:space="preserve">, </w:t>
      </w:r>
      <w:r>
        <w:t>downstream nuclear</w:t>
      </w:r>
      <w:r>
        <w:t xml:space="preserve"> and </w:t>
      </w:r>
      <w:r>
        <w:t>midstream electric grid</w:t>
      </w:r>
      <w:r>
        <w:t xml:space="preserve">, and each still sits in the </w:t>
      </w:r>
      <w:r>
        <w:t>Grow</w:t>
      </w:r>
      <w:r>
        <w:t xml:space="preserve"> corner. In </w:t>
      </w:r>
      <w:r>
        <w:t>midstream green hydrogen</w:t>
      </w:r>
      <w:r>
        <w:t xml:space="preserve">, its score of </w:t>
      </w:r>
      <w:r>
        <w:t>0.26</w:t>
      </w:r>
      <w:r>
        <w:t xml:space="preserve"> equals the median of the </w:t>
      </w:r>
      <w:r>
        <w:t>40</w:t>
      </w:r>
      <w:r>
        <w:t xml:space="preserve"> economies compared, </w:t>
      </w:r>
      <w:r>
        <w:t>0.26</w:t>
      </w:r>
      <w:r>
        <w:t xml:space="preserve">. The score rests on a single category, </w:t>
      </w:r>
      <w:r>
        <w:t>foreign dependency</w:t>
      </w:r>
      <w:r>
        <w:t xml:space="preserve">, where the United States scores </w:t>
      </w:r>
      <w:r>
        <w:t>0.26</w:t>
      </w:r>
      <w:r>
        <w:t xml:space="preserve"> against a median of </w:t>
      </w:r>
      <w:r>
        <w:t>0.26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downstream nuclear</w:t>
      </w:r>
      <w:r>
        <w:t xml:space="preserve">, its score of </w:t>
      </w:r>
      <w:r>
        <w:t>0.50</w:t>
      </w:r>
      <w:r>
        <w:t xml:space="preserve"> is higher than </w:t>
      </w:r>
      <w:r>
        <w:t>76%</w:t>
      </w:r>
      <w:r>
        <w:t xml:space="preserve"> of the other </w:t>
      </w:r>
      <w:r>
        <w:t>66</w:t>
      </w:r>
      <w:r>
        <w:t xml:space="preserve"> economies scored. Its </w:t>
      </w:r>
      <w:r>
        <w:t>energy access</w:t>
      </w:r>
      <w:r>
        <w:t xml:space="preserve"> and </w:t>
      </w:r>
      <w:r>
        <w:t>consumption</w:t>
      </w:r>
      <w:r>
        <w:t xml:space="preserve"> push the score up: its consumption in this sector was </w:t>
      </w:r>
      <w:r>
        <w:t>26 GJ per person</w:t>
      </w:r>
      <w:r>
        <w:t xml:space="preserve"> in </w:t>
      </w:r>
      <w:r>
        <w:t>2025</w:t>
      </w:r>
      <w:r>
        <w:t>.</w:t>
      </w:r>
      <w:r>
        <w:rPr>
          <w:color w:val="4B5563"/>
          <w:vertAlign w:val="superscript"/>
        </w:rPr>
        <w:t>1,2</w:t>
      </w:r>
    </w:p>
    <w:p>
      <w:r>
        <w:t xml:space="preserve">In </w:t>
      </w:r>
      <w:r>
        <w:t>midstream electric grid</w:t>
      </w:r>
      <w:r>
        <w:t xml:space="preserve">, it scores higher than </w:t>
      </w:r>
      <w:r>
        <w:t>79%</w:t>
      </w:r>
      <w:r>
        <w:t xml:space="preserve"> of the other </w:t>
      </w:r>
      <w:r>
        <w:t>92</w:t>
      </w:r>
      <w:r>
        <w:t xml:space="preserve"> economies. Its </w:t>
      </w:r>
      <w:r>
        <w:t>trade</w:t>
      </w:r>
      <w:r>
        <w:t xml:space="preserve"> category pushes the score up: it held </w:t>
      </w:r>
      <w:r>
        <w:t>7.3%</w:t>
      </w:r>
      <w:r>
        <w:t xml:space="preserve"> of world exports of these goods in </w:t>
      </w:r>
      <w:r>
        <w:t>2023</w:t>
      </w:r>
      <w:r>
        <w:t xml:space="preserve">. For context, its largest suppliers in </w:t>
      </w:r>
      <w:r>
        <w:t>2024</w:t>
      </w:r>
      <w:r>
        <w:t xml:space="preserve"> were </w:t>
      </w:r>
      <w:r>
        <w:t>Mexico</w:t>
      </w:r>
      <w:r>
        <w:t xml:space="preserve"> (</w:t>
      </w:r>
      <w:r>
        <w:t>28.9%</w:t>
      </w:r>
      <w:r>
        <w:t xml:space="preserve"> of its imports) and </w:t>
      </w:r>
      <w:r>
        <w:t>China</w:t>
      </w:r>
      <w:r>
        <w:t xml:space="preserve"> (</w:t>
      </w:r>
      <w:r>
        <w:t>11.9%</w:t>
      </w:r>
      <w:r>
        <w:t>).</w:t>
      </w:r>
      <w:r>
        <w:rPr>
          <w:color w:val="4B5563"/>
          <w:vertAlign w:val="superscript"/>
        </w:rPr>
        <w:t>1,3,4</w:t>
      </w:r>
    </w:p>
    <w:p>
      <w:r>
        <w:t xml:space="preserve">In </w:t>
      </w:r>
      <w:r>
        <w:t>midstream batteries</w:t>
      </w:r>
      <w:r>
        <w:t xml:space="preserve">, a high-priority sector, its Energy Security is higher than </w:t>
      </w:r>
      <w:r>
        <w:t>98%</w:t>
      </w:r>
      <w:r>
        <w:t xml:space="preserve"> of the other </w:t>
      </w:r>
      <w:r>
        <w:t>53</w:t>
      </w:r>
      <w:r>
        <w:t xml:space="preserve"> economies scored. Its </w:t>
      </w:r>
      <w:r>
        <w:t>foreign dependency</w:t>
      </w:r>
      <w:r>
        <w:t xml:space="preserve"> and </w:t>
      </w:r>
      <w:r>
        <w:t>investment</w:t>
      </w:r>
      <w:r>
        <w:t xml:space="preserve"> push the score up: counting announced projects, its share of world manufacturing capacity in </w:t>
      </w:r>
      <w:r>
        <w:t>2035</w:t>
      </w:r>
      <w:r>
        <w:t xml:space="preserve"> would be </w:t>
      </w:r>
      <w:r>
        <w:t>15.0%</w:t>
      </w:r>
      <w:r>
        <w:t xml:space="preserve">. For context, </w:t>
      </w:r>
      <w:r>
        <w:t>China</w:t>
      </w:r>
      <w:r>
        <w:t xml:space="preserve"> supplied </w:t>
      </w:r>
      <w:r>
        <w:t>55.0%</w:t>
      </w:r>
      <w:r>
        <w:t xml:space="preserve"> of its imports of these goods in </w:t>
      </w:r>
      <w:r>
        <w:t>2024</w:t>
      </w:r>
      <w:r>
        <w:t xml:space="preserve">, and the data record </w:t>
      </w:r>
      <w:r>
        <w:t>91</w:t>
      </w:r>
      <w:r>
        <w:t xml:space="preserve"> cross-border factory projects in the United States in this sector.</w:t>
      </w:r>
      <w:r>
        <w:rPr>
          <w:color w:val="4B5563"/>
          <w:vertAlign w:val="superscript"/>
        </w:rPr>
        <w:t>1,4,5,6</w:t>
      </w:r>
    </w:p>
    <w:p>
      <w:pPr>
        <w:pStyle w:val="Heading1"/>
      </w:pPr>
      <w:r>
        <w:t>2. Economic opportunities and why</w:t>
      </w:r>
    </w:p>
    <w:p>
      <w:r>
        <w:t xml:space="preserve">All </w:t>
      </w:r>
      <w:r>
        <w:t>30</w:t>
      </w:r>
      <w:r>
        <w:t xml:space="preserve"> placed sectors of the United States sit in the two high-opportunity corners. Its highest Economic Opportunity percentiles are in </w:t>
      </w:r>
      <w:r>
        <w:t>upstream gas</w:t>
      </w:r>
      <w:r>
        <w:t xml:space="preserve">, </w:t>
      </w:r>
      <w:r>
        <w:t>downstream gas</w:t>
      </w:r>
      <w:r>
        <w:t xml:space="preserve"> and </w:t>
      </w:r>
      <w:r>
        <w:t>downstream geothermal</w:t>
      </w:r>
      <w:r>
        <w:t xml:space="preserve">: it scores higher than </w:t>
      </w:r>
      <w:r>
        <w:t>100%</w:t>
      </w:r>
      <w:r>
        <w:t xml:space="preserve">, </w:t>
      </w:r>
      <w:r>
        <w:t>100%</w:t>
      </w:r>
      <w:r>
        <w:t xml:space="preserve"> and </w:t>
      </w:r>
      <w:r>
        <w:t>100%</w:t>
      </w:r>
      <w:r>
        <w:t xml:space="preserve"> of the other economies scored in each.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upstream gas</w:t>
      </w:r>
      <w:r>
        <w:t xml:space="preserve">, </w:t>
      </w:r>
      <w:r>
        <w:t>production</w:t>
      </w:r>
      <w:r>
        <w:t xml:space="preserve"> and </w:t>
      </w:r>
      <w:r>
        <w:t>trade</w:t>
      </w:r>
      <w:r>
        <w:t xml:space="preserve"> push the score up. It produced </w:t>
      </w:r>
      <w:r>
        <w:t>38.7 EJ</w:t>
      </w:r>
      <w:r>
        <w:t xml:space="preserve"> in </w:t>
      </w:r>
      <w:r>
        <w:t>2025</w:t>
      </w:r>
      <w:r>
        <w:t xml:space="preserve"> and held </w:t>
      </w:r>
      <w:r>
        <w:t>15.1%</w:t>
      </w:r>
      <w:r>
        <w:t xml:space="preserve"> of world exports in </w:t>
      </w:r>
      <w:r>
        <w:t>2023</w:t>
      </w:r>
      <w:r>
        <w:t xml:space="preserve">; its exports of these goods were </w:t>
      </w:r>
      <w:r>
        <w:t>USD 62.1 bn</w:t>
      </w:r>
      <w:r>
        <w:t xml:space="preserve"> in </w:t>
      </w:r>
      <w:r>
        <w:t>2024</w:t>
      </w:r>
      <w:r>
        <w:t xml:space="preserve">. Its largest markets in </w:t>
      </w:r>
      <w:r>
        <w:t>2024</w:t>
      </w:r>
      <w:r>
        <w:t xml:space="preserve"> were </w:t>
      </w:r>
      <w:r>
        <w:t>China</w:t>
      </w:r>
      <w:r>
        <w:t xml:space="preserve"> (</w:t>
      </w:r>
      <w:r>
        <w:t>16.5%</w:t>
      </w:r>
      <w:r>
        <w:t xml:space="preserve">), </w:t>
      </w:r>
      <w:r>
        <w:t>South Korea</w:t>
      </w:r>
      <w:r>
        <w:t xml:space="preserve"> (</w:t>
      </w:r>
      <w:r>
        <w:t>8.9%</w:t>
      </w:r>
      <w:r>
        <w:t xml:space="preserve">) and </w:t>
      </w:r>
      <w:r>
        <w:t>Mexico</w:t>
      </w:r>
      <w:r>
        <w:t xml:space="preserve"> (</w:t>
      </w:r>
      <w:r>
        <w:t>8.8%</w:t>
      </w:r>
      <w:r>
        <w:t>).</w:t>
      </w:r>
      <w:r>
        <w:rPr>
          <w:color w:val="4B5563"/>
          <w:vertAlign w:val="superscript"/>
        </w:rPr>
        <w:t>2,3,4,7</w:t>
      </w:r>
    </w:p>
    <w:p>
      <w:r>
        <w:t xml:space="preserve">In </w:t>
      </w:r>
      <w:r>
        <w:t>downstream gas</w:t>
      </w:r>
      <w:r>
        <w:t xml:space="preserve">, </w:t>
      </w:r>
      <w:r>
        <w:t>production</w:t>
      </w:r>
      <w:r>
        <w:t xml:space="preserve"> and </w:t>
      </w:r>
      <w:r>
        <w:t>consumption</w:t>
      </w:r>
      <w:r>
        <w:t xml:space="preserve"> push the score up; its production in this sector was </w:t>
      </w:r>
      <w:r>
        <w:t>1,940 TWh</w:t>
      </w:r>
      <w:r>
        <w:t xml:space="preserve"> in </w:t>
      </w:r>
      <w:r>
        <w:t>2025</w:t>
      </w:r>
      <w:r>
        <w:t xml:space="preserve">. In </w:t>
      </w:r>
      <w:r>
        <w:t>downstream geothermal</w:t>
      </w:r>
      <w:r>
        <w:t xml:space="preserve">, </w:t>
      </w:r>
      <w:r>
        <w:t>investment</w:t>
      </w:r>
      <w:r>
        <w:t xml:space="preserve"> and </w:t>
      </w:r>
      <w:r>
        <w:t>consumption</w:t>
      </w:r>
      <w:r>
        <w:t xml:space="preserve"> do the same; both are index measures without a single raw figure.</w:t>
      </w:r>
      <w:r>
        <w:rPr>
          <w:color w:val="4B5563"/>
          <w:vertAlign w:val="superscript"/>
        </w:rPr>
        <w:t>2</w:t>
      </w:r>
    </w:p>
    <w:p>
      <w:r>
        <w:t xml:space="preserve">Its high-priority sectors also score well on this pillar. In </w:t>
      </w:r>
      <w:r>
        <w:t>midstream batteries</w:t>
      </w:r>
      <w:r>
        <w:t xml:space="preserve">, its Economic Opportunity is higher than </w:t>
      </w:r>
      <w:r>
        <w:t>98%</w:t>
      </w:r>
      <w:r>
        <w:t xml:space="preserve"> of the other </w:t>
      </w:r>
      <w:r>
        <w:t>53</w:t>
      </w:r>
      <w:r>
        <w:t xml:space="preserve"> economies scored, lifted by </w:t>
      </w:r>
      <w:r>
        <w:t>investment</w:t>
      </w:r>
      <w:r>
        <w:t xml:space="preserve"> and </w:t>
      </w:r>
      <w:r>
        <w:t>foreign dependency</w:t>
      </w:r>
      <w:r>
        <w:t xml:space="preserve">. For context, </w:t>
      </w:r>
      <w:r>
        <w:t>Mexico</w:t>
      </w:r>
      <w:r>
        <w:t xml:space="preserve"> took </w:t>
      </w:r>
      <w:r>
        <w:t>39.2%</w:t>
      </w:r>
      <w:r>
        <w:t xml:space="preserve"> of its exports of these goods in </w:t>
      </w:r>
      <w:r>
        <w:t>2024</w:t>
      </w:r>
      <w:r>
        <w:t xml:space="preserve">. In </w:t>
      </w:r>
      <w:r>
        <w:t>downstream batteries</w:t>
      </w:r>
      <w:r>
        <w:t xml:space="preserve">, it scores higher than </w:t>
      </w:r>
      <w:r>
        <w:t>99%</w:t>
      </w:r>
      <w:r>
        <w:t xml:space="preserve"> of the other </w:t>
      </w:r>
      <w:r>
        <w:t>138</w:t>
      </w:r>
      <w:r>
        <w:t xml:space="preserve"> economies, lifted by </w:t>
      </w:r>
      <w:r>
        <w:t>investment</w:t>
      </w:r>
      <w:r>
        <w:t xml:space="preserve"> and </w:t>
      </w:r>
      <w:r>
        <w:t>cost competitiveness</w:t>
      </w:r>
      <w:r>
        <w:t>.</w:t>
      </w:r>
      <w:r>
        <w:rPr>
          <w:color w:val="4B5563"/>
          <w:vertAlign w:val="superscript"/>
        </w:rPr>
        <w:t>1,4</w:t>
      </w:r>
    </w:p>
    <w:p>
      <w:pPr>
        <w:pStyle w:val="Heading1"/>
      </w:pPr>
      <w:r>
        <w:t>3. Sectoral priorities and the existing policy posture</w:t>
      </w:r>
    </w:p>
    <w:p>
      <w:r>
        <w:t xml:space="preserve">On the paper's weighting, the Strategic Index ranks </w:t>
      </w:r>
      <w:r>
        <w:t>midstream batteries</w:t>
      </w:r>
      <w:r>
        <w:t xml:space="preserve"> </w:t>
      </w:r>
      <w:r>
        <w:t>1st</w:t>
      </w:r>
      <w:r>
        <w:t xml:space="preserve">, </w:t>
      </w:r>
      <w:r>
        <w:t>downstream batteries</w:t>
      </w:r>
      <w:r>
        <w:t xml:space="preserve"> </w:t>
      </w:r>
      <w:r>
        <w:t>2nd</w:t>
      </w:r>
      <w:r>
        <w:t xml:space="preserve">, </w:t>
      </w:r>
      <w:r>
        <w:t>midstream green hydrogen</w:t>
      </w:r>
      <w:r>
        <w:t xml:space="preserve"> </w:t>
      </w:r>
      <w:r>
        <w:t>3rd</w:t>
      </w:r>
      <w:r>
        <w:t xml:space="preserve"> and </w:t>
      </w:r>
      <w:r>
        <w:t>midstream electric grid</w:t>
      </w:r>
      <w:r>
        <w:t xml:space="preserve"> </w:t>
      </w:r>
      <w:r>
        <w:t>4th</w:t>
      </w:r>
      <w:r>
        <w:t xml:space="preserve"> among the sectors of the United States. These scores are almost tied: neighbours are </w:t>
      </w:r>
      <w:r>
        <w:t>0.003</w:t>
      </w:r>
      <w:r>
        <w:t xml:space="preserve">, </w:t>
      </w:r>
      <w:r>
        <w:t>0.002</w:t>
      </w:r>
      <w:r>
        <w:t xml:space="preserve"> and </w:t>
      </w:r>
      <w:r>
        <w:t>0.004</w:t>
      </w:r>
      <w:r>
        <w:t xml:space="preserve"> apart. With no sector in the Upgrade corner, the paper's rule takes its </w:t>
      </w:r>
      <w:r>
        <w:t>3</w:t>
      </w:r>
      <w:r>
        <w:t xml:space="preserve"> highest Strategic Index sectors as its high-priority sectors. Its allied pick in the network design is </w:t>
      </w:r>
      <w:r>
        <w:t>midstream batteries</w:t>
      </w:r>
      <w:r>
        <w:t xml:space="preserve">, almost tied with the runner-up, </w:t>
      </w:r>
      <w:r>
        <w:t>midstream electric grid</w:t>
      </w:r>
      <w:r>
        <w:t xml:space="preserve"> (just under </w:t>
      </w:r>
      <w:r>
        <w:t>0.010</w:t>
      </w:r>
      <w:r>
        <w:t xml:space="preserve"> apart).</w:t>
      </w:r>
      <w:r>
        <w:rPr>
          <w:color w:val="4B5563"/>
          <w:vertAlign w:val="superscript"/>
        </w:rPr>
        <w:t>1,8</w:t>
      </w:r>
    </w:p>
    <w:p>
      <w:r>
        <w:t xml:space="preserve">The paper's policy measure counts International Energy Agency policy records, </w:t>
      </w:r>
      <w:r>
        <w:t>881</w:t>
      </w:r>
      <w:r>
        <w:t xml:space="preserve"> for the United States (</w:t>
      </w:r>
      <w:r>
        <w:t>586</w:t>
      </w:r>
      <w:r>
        <w:t xml:space="preserve"> naming a technology), and reads the Climate Action Tracker rating, </w:t>
      </w:r>
      <w:r>
        <w:t>Insufficient</w:t>
      </w:r>
      <w:r>
        <w:t xml:space="preserve"> (</w:t>
      </w:r>
      <w:r>
        <w:t>November 2024</w:t>
      </w:r>
      <w:r>
        <w:t>), against each technology.</w:t>
      </w:r>
      <w:r>
        <w:rPr>
          <w:color w:val="4B5563"/>
          <w:vertAlign w:val="superscript"/>
        </w:rPr>
        <w:t>9,10</w:t>
      </w:r>
    </w:p>
    <w:p>
      <w:r>
        <w:t xml:space="preserve">Ranked within the United States, policy activity places </w:t>
      </w:r>
      <w:r>
        <w:t>midstream batteries</w:t>
      </w:r>
      <w:r>
        <w:t xml:space="preserve"> and </w:t>
      </w:r>
      <w:r>
        <w:t>downstream batteries</w:t>
      </w:r>
      <w:r>
        <w:t xml:space="preserve"> among its sectors with the </w:t>
      </w:r>
      <w:r>
        <w:t>most policy</w:t>
      </w:r>
      <w:r>
        <w:t xml:space="preserve">, and </w:t>
      </w:r>
      <w:r>
        <w:t>midstream green hydrogen</w:t>
      </w:r>
      <w:r>
        <w:t xml:space="preserve"> in the </w:t>
      </w:r>
      <w:r>
        <w:t>middle</w:t>
      </w:r>
      <w:r>
        <w:t xml:space="preserve"> group. On data-based priority (the Strategic Index without its policy term), </w:t>
      </w:r>
      <w:r>
        <w:t>downstream batteries</w:t>
      </w:r>
      <w:r>
        <w:t xml:space="preserve"> ranks only </w:t>
      </w:r>
      <w:r>
        <w:t>13th</w:t>
      </w:r>
      <w:r>
        <w:t xml:space="preserve">, so its high rank rests on policy activity. Splitting data-based priority and policy activity into thirds, no sector combines top priority with the least policy. Top priority and the most policy coincide in </w:t>
      </w:r>
      <w:r>
        <w:t>midstream batteries, midstream electric grid, midstream solar, midstream nuclear and midstream wind</w:t>
      </w:r>
      <w:r>
        <w:t xml:space="preserve">, while </w:t>
      </w:r>
      <w:r>
        <w:t>downstream geothermal</w:t>
      </w:r>
      <w:r>
        <w:t xml:space="preserve"> combines bottom priority with the most policy.</w:t>
      </w:r>
      <w:r>
        <w:rPr>
          <w:color w:val="4B5563"/>
          <w:vertAlign w:val="superscript"/>
        </w:rPr>
        <w:t>1</w:t>
      </w:r>
    </w:p>
    <w:p>
      <w:r>
        <w:t xml:space="preserve">For context, Global Trade Alert records </w:t>
      </w:r>
      <w:r>
        <w:t>4,770</w:t>
      </w:r>
      <w:r>
        <w:t xml:space="preserve"> active industrial-policy measures for the United States, outside the paper's policy measure: </w:t>
      </w:r>
      <w:r>
        <w:t>420</w:t>
      </w:r>
      <w:r>
        <w:t xml:space="preserve"> tied to </w:t>
      </w:r>
      <w:r>
        <w:t>midstream batteries</w:t>
      </w:r>
      <w:r>
        <w:t xml:space="preserve">, against </w:t>
      </w:r>
      <w:r>
        <w:t>1,341</w:t>
      </w:r>
      <w:r>
        <w:t xml:space="preserve"> for </w:t>
      </w:r>
      <w:r>
        <w:t>midstream electric grid</w:t>
      </w:r>
      <w:r>
        <w:t xml:space="preserve"> and </w:t>
      </w:r>
      <w:r>
        <w:t>1,351</w:t>
      </w:r>
      <w:r>
        <w:t xml:space="preserve"> for </w:t>
      </w:r>
      <w:r>
        <w:t>midstream wind</w:t>
      </w:r>
      <w:r>
        <w:t>.</w:t>
      </w:r>
      <w:r>
        <w:rPr>
          <w:color w:val="4B5563"/>
          <w:vertAlign w:val="superscript"/>
        </w:rPr>
        <w:t>11</w:t>
      </w:r>
    </w:p>
    <w:p>
      <w:pPr>
        <w:pStyle w:val="Heading1"/>
      </w:pPr>
      <w:r>
        <w:t>4. Partnership priorities and why</w:t>
      </w:r>
    </w:p>
    <w:p>
      <w:r>
        <w:t xml:space="preserve">The Partnership Strength Index scores how much a partner offers as a reliable supplier, an export market and a place to build supply chains together. From the viewpoint of the United States, it rates the </w:t>
      </w:r>
      <w:r>
        <w:t>United Kingdom</w:t>
      </w:r>
      <w:r>
        <w:t xml:space="preserve"> highest, as a </w:t>
      </w:r>
      <w:r>
        <w:t>reliable supplier</w:t>
      </w:r>
      <w:r>
        <w:t xml:space="preserve">. Its best supplier scores are in </w:t>
      </w:r>
      <w:r>
        <w:t>midstream green hydrogen, downstream nuclear, midstream nuclear, midstream electric grid and downstream wind</w:t>
      </w:r>
      <w:r>
        <w:t xml:space="preserve">. </w:t>
      </w:r>
      <w:r>
        <w:t>Canada</w:t>
      </w:r>
      <w:r>
        <w:t xml:space="preserve">, </w:t>
      </w:r>
      <w:r>
        <w:t>Germany</w:t>
      </w:r>
      <w:r>
        <w:t xml:space="preserve"> and the </w:t>
      </w:r>
      <w:r>
        <w:t>Netherlands</w:t>
      </w:r>
      <w:r>
        <w:t xml:space="preserve"> follow, ranked </w:t>
      </w:r>
      <w:r>
        <w:t>2nd</w:t>
      </w:r>
      <w:r>
        <w:t xml:space="preserve">, </w:t>
      </w:r>
      <w:r>
        <w:t>3rd</w:t>
      </w:r>
      <w:r>
        <w:t xml:space="preserve"> and </w:t>
      </w:r>
      <w:r>
        <w:t>4th</w:t>
      </w:r>
      <w:r>
        <w:t xml:space="preserve">, each also as a </w:t>
      </w:r>
      <w:r>
        <w:t>reliable supplier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Several of these partners are close trade partners today. </w:t>
      </w:r>
      <w:r>
        <w:t>Canada</w:t>
      </w:r>
      <w:r>
        <w:t xml:space="preserve"> is its </w:t>
      </w:r>
      <w:r>
        <w:t>1st</w:t>
      </w:r>
      <w:r>
        <w:t xml:space="preserve"> trade partner on average across its energy-goods baskets, the </w:t>
      </w:r>
      <w:r>
        <w:t>United Kingdom</w:t>
      </w:r>
      <w:r>
        <w:t xml:space="preserve"> its </w:t>
      </w:r>
      <w:r>
        <w:t>4th</w:t>
      </w:r>
      <w:r>
        <w:t xml:space="preserve"> and </w:t>
      </w:r>
      <w:r>
        <w:t>Germany</w:t>
      </w:r>
      <w:r>
        <w:t xml:space="preserve"> its </w:t>
      </w:r>
      <w:r>
        <w:t>5th</w:t>
      </w:r>
      <w:r>
        <w:t xml:space="preserve">. Firms headquartered in </w:t>
      </w:r>
      <w:r>
        <w:t>Canada</w:t>
      </w:r>
      <w:r>
        <w:t xml:space="preserve"> and </w:t>
      </w:r>
      <w:r>
        <w:t>Germany</w:t>
      </w:r>
      <w:r>
        <w:t xml:space="preserve"> have </w:t>
      </w:r>
      <w:r>
        <w:t>23</w:t>
      </w:r>
      <w:r>
        <w:t xml:space="preserve"> and </w:t>
      </w:r>
      <w:r>
        <w:t>22</w:t>
      </w:r>
      <w:r>
        <w:t xml:space="preserve"> cross-border factory projects in the United States. </w:t>
      </w:r>
      <w:r>
        <w:t>Ireland</w:t>
      </w:r>
      <w:r>
        <w:t xml:space="preserve">, ranked </w:t>
      </w:r>
      <w:r>
        <w:t>5th</w:t>
      </w:r>
      <w:r>
        <w:t xml:space="preserve">, is </w:t>
      </w:r>
      <w:r>
        <w:t>a priority partner with few ties today</w:t>
      </w:r>
      <w:r>
        <w:t xml:space="preserve">: it is only its </w:t>
      </w:r>
      <w:r>
        <w:t>33rd</w:t>
      </w:r>
      <w:r>
        <w:t xml:space="preserve"> trade partner.</w:t>
      </w:r>
      <w:r>
        <w:rPr>
          <w:color w:val="4B5563"/>
          <w:vertAlign w:val="superscript"/>
        </w:rPr>
        <w:t>1,4,6</w:t>
      </w:r>
    </w:p>
    <w:p>
      <w:r>
        <w:t xml:space="preserve">Some large trade partners rank lower on the index. </w:t>
      </w:r>
      <w:r>
        <w:t>China</w:t>
      </w:r>
      <w:r>
        <w:t xml:space="preserve"> and </w:t>
      </w:r>
      <w:r>
        <w:t>Mexico</w:t>
      </w:r>
      <w:r>
        <w:t xml:space="preserve"> are its </w:t>
      </w:r>
      <w:r>
        <w:t>2nd</w:t>
      </w:r>
      <w:r>
        <w:t xml:space="preserve"> and </w:t>
      </w:r>
      <w:r>
        <w:t>3rd</w:t>
      </w:r>
      <w:r>
        <w:t xml:space="preserve"> trade partners, but the index ranks them </w:t>
      </w:r>
      <w:r>
        <w:t>51st</w:t>
      </w:r>
      <w:r>
        <w:t xml:space="preserve"> and </w:t>
      </w:r>
      <w:r>
        <w:t>39th</w:t>
      </w:r>
      <w:r>
        <w:t xml:space="preserve">; each is </w:t>
      </w:r>
      <w:r>
        <w:t>a strong tie today that the index ranks lower</w:t>
      </w:r>
      <w:r>
        <w:t xml:space="preserve">. In votes at the United Nations, the United States and </w:t>
      </w:r>
      <w:r>
        <w:t>China</w:t>
      </w:r>
      <w:r>
        <w:t xml:space="preserve"> sit in </w:t>
      </w:r>
      <w:r>
        <w:t>opposite blocs</w:t>
      </w:r>
      <w:r>
        <w:t>.</w:t>
      </w:r>
      <w:r>
        <w:rPr>
          <w:color w:val="4B5563"/>
          <w:vertAlign w:val="superscript"/>
        </w:rPr>
        <w:t>1,4,12</w:t>
      </w:r>
    </w:p>
    <w:p>
      <w:r>
        <w:t xml:space="preserve">As a partner to the coalition, the United States ranks </w:t>
      </w:r>
      <w:r>
        <w:t>1st</w:t>
      </w:r>
      <w:r>
        <w:t xml:space="preserve"> of </w:t>
      </w:r>
      <w:r>
        <w:t>192</w:t>
      </w:r>
      <w:r>
        <w:t xml:space="preserve"> economies. In the allied network design, its largest designed shares of coalition production are </w:t>
      </w:r>
      <w:r>
        <w:t>31.5%</w:t>
      </w:r>
      <w:r>
        <w:t xml:space="preserve"> in </w:t>
      </w:r>
      <w:r>
        <w:t>midstream electric vehicles</w:t>
      </w:r>
      <w:r>
        <w:t xml:space="preserve"> and </w:t>
      </w:r>
      <w:r>
        <w:t>29.5%</w:t>
      </w:r>
      <w:r>
        <w:t xml:space="preserve"> in </w:t>
      </w:r>
      <w:r>
        <w:t>midstream batteries</w:t>
      </w:r>
      <w:r>
        <w:t>.</w:t>
      </w:r>
      <w:r>
        <w:rPr>
          <w:color w:val="4B5563"/>
          <w:vertAlign w:val="superscript"/>
        </w:rPr>
        <w:t>1,8</w:t>
      </w:r>
    </w:p>
    <w:p>
      <w:pPr>
        <w:pStyle w:val="Heading1"/>
      </w:pPr>
      <w:r>
        <w:t>5. Data notes and caveats</w:t>
      </w:r>
    </w:p>
    <w:p>
      <w:r>
        <w:t>Country Insights lists every source (</w:t>
      </w:r>
      <w:r>
        <w:t>12 October 2026</w:t>
      </w:r>
      <w:r>
        <w:t xml:space="preserve"> baseline).</w:t>
      </w:r>
    </w:p>
    <w:p>
      <w:pPr>
        <w:pStyle w:val="ListBullet"/>
      </w:pPr>
      <w:r>
        <w:t>Scores compare the United States with other economies in the same sector; they are not measures of risk or profit in absolute terms.</w:t>
      </w:r>
    </w:p>
    <w:p>
      <w:pPr>
        <w:pStyle w:val="ListBullet"/>
      </w:pPr>
      <w:r>
        <w:t>All index values are the paper's baseline as of 12 October 2026; Strategic Insights recomputes them under other weightings.</w:t>
      </w:r>
    </w:p>
    <w:p>
      <w:pPr>
        <w:pStyle w:val="ListBullet"/>
      </w:pPr>
      <w:r>
        <w:t>Strategic Index scores within 0.01 of each other are almost tied: small changes in the data or the weights can swap their order.</w:t>
      </w:r>
    </w:p>
    <w:p>
      <w:pPr>
        <w:pStyle w:val="ListBullet"/>
      </w:pPr>
      <w:r>
        <w:t>Many allied picks are close calls: in the paper, 37% of them are within 0.01 of the runner-up.</w:t>
      </w:r>
    </w:p>
    <w:p>
      <w:pPr>
        <w:pStyle w:val="ListBullet"/>
      </w:pPr>
      <w:r>
        <w:t>Factory projects are cross-border solar, wind, battery and electric-vehicle manufacturing projects only, announced projects included, which may never be built; domestic investment is not covered (Cleantech Manufacturing FDI Dataset, edition 2026.10.05, CC BY 4.0; counts by the authors, a joint venture counted under its listed parent).</w:t>
      </w:r>
    </w:p>
    <w:p>
      <w:pPr>
        <w:pStyle w:val="ListBullet"/>
      </w:pPr>
      <w:r>
        <w:t>Industrial-policy measures from the Global Trade Alert, New Industrial Policy Observatory, October 2026 extract (as of 5 October 2026) are context only, outside the Policy index.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 (Opportunity Security Indices pipeline); CC BY 4.0 (the paper's indices).</w:t>
      </w:r>
    </w:p>
    <w:p>
      <w:pPr>
        <w:pStyle w:val="ListNumber"/>
      </w:pPr>
      <w:r>
        <w:rPr>
          <w:sz w:val="17"/>
        </w:rPr>
        <w:t>Energy Institute, Statistical Review of World Energy 2026 (data to 2025); attribution; https://www.energyinst.org/statistical-review.</w:t>
      </w:r>
    </w:p>
    <w:p>
      <w:pPr>
        <w:pStyle w:val="ListNumber"/>
      </w:pPr>
      <w:r>
        <w:rPr>
          <w:sz w:val="17"/>
        </w:rPr>
        <w:t>Growth Lab at Harvard University, The Atlas of Economic Complexity, HS92 6-digit country-product-year data (data to 2023); attribution; https://atlas.hks.harvard.edu/.</w:t>
      </w:r>
    </w:p>
    <w:p>
      <w:pPr>
        <w:pStyle w:val="ListNumber"/>
      </w:pPr>
      <w:r>
        <w:rPr>
          <w:sz w:val="17"/>
        </w:rPr>
        <w:t>United Nations, UN Comtrade Database, HS6 bilateral trade (all reporters), 2020 and 2024; reconciled by the authors (pulled 2026-10-07 to 2026-10-09); attribution; https://comtradeplus.un.org/.</w:t>
      </w:r>
    </w:p>
    <w:p>
      <w:pPr>
        <w:pStyle w:val="ListNumber"/>
      </w:pPr>
      <w:r>
        <w:rPr>
          <w:sz w:val="17"/>
        </w:rPr>
        <w:t>International Energy Agency, Energy Technology Perspectives 2024: manufacturing capacity shares; International Energy Agency terms of use; https://www.iea.org/.</w:t>
      </w:r>
    </w:p>
    <w:p>
      <w:pPr>
        <w:pStyle w:val="ListNumber"/>
      </w:pPr>
      <w:r>
        <w:rPr>
          <w:sz w:val="17"/>
        </w:rPr>
        <w:t>Bandara, P. and the Net Zero Industrial Policy Lab. Cleantech Manufacturing FDI Dataset, edition 2026.10.05. Johns Hopkins University. https://cmfdi.netzeropolicylab.com (2026.10.05); attribution; https://cmfdi.netzeropolicylab.com/.</w:t>
      </w:r>
    </w:p>
    <w:p>
      <w:pPr>
        <w:pStyle w:val="ListNumber"/>
      </w:pPr>
      <w:r>
        <w:rPr>
          <w:sz w:val="17"/>
        </w:rPr>
        <w:t>United Nations, UN Comtrade Database, exports to World by reporter, 2024 (2024 data); attribution; https://comtradeplus.un.org/.</w:t>
      </w:r>
    </w:p>
    <w:p>
      <w:pPr>
        <w:pStyle w:val="ListNumber"/>
      </w:pPr>
      <w:r>
        <w:rPr>
          <w:sz w:val="17"/>
        </w:rPr>
        <w:t>Allied network design (the paper's model design of coalition production shares).</w:t>
      </w:r>
    </w:p>
    <w:p>
      <w:pPr>
        <w:pStyle w:val="ListNumber"/>
      </w:pPr>
      <w:r>
        <w:rPr>
          <w:sz w:val="17"/>
        </w:rPr>
        <w:t>International Energy Agency, Policies and Measures Database (export of 2026-09-30); attribution; https://www.iea.org/policies.</w:t>
      </w:r>
    </w:p>
    <w:p>
      <w:pPr>
        <w:pStyle w:val="ListNumber"/>
      </w:pPr>
      <w:r>
        <w:rPr>
          <w:sz w:val="17"/>
        </w:rPr>
        <w:t>Climate Action Tracker, country ratings (ratings updated 2022-2025); attribution; https://climateactiontracker.org/.</w:t>
      </w:r>
    </w:p>
    <w:p>
      <w:pPr>
        <w:pStyle w:val="ListNumber"/>
      </w:pPr>
      <w:r>
        <w:rPr>
          <w:sz w:val="17"/>
        </w:rPr>
        <w:t>Global Trade Alert, New Industrial Policy Observatory: industrial-policy interventions, strength scored by the authors, October 2026 extract (as of 5 October 2026); subscription (titles, dates and links only); https://www.globaltradealert.org/.</w:t>
      </w:r>
    </w:p>
    <w:p>
      <w:pPr>
        <w:pStyle w:val="ListNumber"/>
      </w:pPr>
      <w:r>
        <w:rPr>
          <w:sz w:val="17"/>
        </w:rPr>
        <w:t>Bailey, M., Strezhnev, A. and Voeten, E., United Nations General Assembly Voting Data, ideal points (Harvard Dataverse V39.0) (sessions to 2023); attribution; https://dataverse.harvard.edu/dataset.xhtml?persistentId=hdl:1902.1/12379.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  Allied Industrial Base Explorer, Country Insights: United States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States: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USA</cp:keywords>
  <dc:description>paper baseline as of 12 October 2026; fact sheet sha256 7c200504c1e821fef3f34c73a509a7b17b0647be56499b24d6ef1dfbd81d3556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