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States: energy security, economic opportunity and partnership priorities</w:t>
      </w:r>
    </w:p>
    <w:p>
      <w:r>
        <w:rPr>
          <w:color w:val="4B5563"/>
          <w:sz w:val="18"/>
        </w:rPr>
        <w:t>Policy memo · Country Insights · Allied Industrial Base Explorer · NEIS Center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9"/>
        </w:rPr>
        <w:t>AI-generated from the data and checked against it; paper baseline as of 12 October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3F4F6"/>
            <w:tcBorders>
              <w:top w:val="nil"/>
              <w:left w:val="single" w:sz="24" w:space="0" w:color="F58229"/>
              <w:bottom w:val="nil"/>
              <w:right w:val="nil"/>
            </w:tcBorders>
            <w:tcMar>
              <w:top w:w="120" w:type="dxa"/>
              <w:left w:w="200" w:type="dxa"/>
              <w:bottom w:w="80" w:type="dxa"/>
              <w:right w:w="160" w:type="dxa"/>
            </w:tcMar>
          </w:tcPr>
          <w:p>
            <w:r>
              <w:rPr>
                <w:b/>
                <w:sz w:val="24"/>
              </w:rPr>
              <w:t>Summary</w:t>
            </w:r>
          </w:p>
          <w:p>
            <w:pPr>
              <w:pStyle w:val="ListBullet"/>
            </w:pPr>
            <w:r>
              <w:t xml:space="preserve">Placeholder memo for the dashboard fixture. </w:t>
            </w:r>
            <w:r>
              <w:t>2</w:t>
            </w:r>
            <w:r>
              <w:t xml:space="preserve"> of </w:t>
            </w:r>
            <w:r>
              <w:t>30</w:t>
            </w:r>
            <w:r>
              <w:t xml:space="preserve"> placed sectors sit in the two low-energy-security corners.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Its top Strategic Index sector among its own sectors is </w:t>
            </w:r>
            <w:r>
              <w:t>upstream solar</w:t>
            </w:r>
            <w:r>
              <w:t>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>The memo phase replaces this text with an AI-generated memo checked against the fact sheet.</w:t>
            </w:r>
          </w:p>
          <w:p>
            <w:pPr>
              <w:pStyle w:val="ListBullet"/>
            </w:pPr>
            <w:r>
              <w:t xml:space="preserve">The Partnership Strength Index rates </w:t>
            </w:r>
            <w:r>
              <w:t>Japan</w:t>
            </w:r>
            <w:r>
              <w:t xml:space="preserve"> highest.</w:t>
            </w:r>
            <w:r>
              <w:rPr>
                <w:color w:val="4B5563"/>
                <w:vertAlign w:val="superscript"/>
              </w:rPr>
              <w:t>1</w:t>
            </w:r>
          </w:p>
        </w:tc>
      </w:tr>
    </w:tbl>
    <w:p/>
    <w:p>
      <w:pPr>
        <w:pStyle w:val="Heading1"/>
      </w:pPr>
      <w:r>
        <w:t>1. Energy security risks and why</w:t>
      </w:r>
    </w:p>
    <w:p>
      <w:r>
        <w:t>Placeholder section: the memo phase writes this section from the fact sheet.</w:t>
      </w:r>
    </w:p>
    <w:p>
      <w:pPr>
        <w:pStyle w:val="Heading1"/>
      </w:pPr>
      <w:r>
        <w:t>2. Economic opportunities and why</w:t>
      </w:r>
    </w:p>
    <w:p>
      <w:r>
        <w:t>Placeholder section: the memo phase writes this section from the fact sheet.</w:t>
      </w:r>
    </w:p>
    <w:p>
      <w:pPr>
        <w:pStyle w:val="Heading1"/>
      </w:pPr>
      <w:r>
        <w:t>3. Sectoral priorities and the existing policy posture</w:t>
      </w:r>
    </w:p>
    <w:p>
      <w:r>
        <w:t>Placeholder section: the memo phase writes this section from the fact sheet.</w:t>
      </w:r>
    </w:p>
    <w:p>
      <w:pPr>
        <w:pStyle w:val="Heading1"/>
      </w:pPr>
      <w:r>
        <w:t>4. Partnership priorities and why</w:t>
      </w:r>
    </w:p>
    <w:p>
      <w:r>
        <w:t>Placeholder section: the memo phase writes this section from the fact sheet.</w:t>
      </w:r>
    </w:p>
    <w:p>
      <w:pPr>
        <w:pStyle w:val="Heading1"/>
      </w:pPr>
      <w:r>
        <w:t>5. Data notes and caveats</w:t>
      </w:r>
    </w:p>
    <w:p>
      <w:r>
        <w:t xml:space="preserve">All index values are the paper's baseline as of </w:t>
      </w:r>
      <w:r>
        <w:t>12 October 2026</w:t>
      </w:r>
      <w:r>
        <w:t>.</w:t>
      </w:r>
      <w:r>
        <w:rPr>
          <w:color w:val="4B5563"/>
          <w:vertAlign w:val="superscript"/>
        </w:rPr>
        <w:t>1</w:t>
      </w:r>
    </w:p>
    <w:p>
      <w:pPr>
        <w:pStyle w:val="Heading2"/>
        <w:pBdr>
          <w:top w:val="single" w:sz="4" w:space="4" w:color="D1D5DB"/>
        </w:pBdr>
      </w:pPr>
      <w:r>
        <w:t>Sources</w:t>
      </w:r>
    </w:p>
    <w:p>
      <w:pPr>
        <w:pStyle w:val="ListNumber"/>
      </w:pPr>
      <w:r>
        <w:rPr>
          <w:sz w:val="17"/>
        </w:rPr>
        <w:t>Energy Security, Economic Opportunity, Strategic Index and Partnership Strength Index, paper baseline.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8"/>
        </w:rPr>
        <w:t>AI-generated from the data and checked against it; paper baseline as of 12 October 2026.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i/>
        <w:color w:val="4B5563"/>
        <w:sz w:val="16"/>
      </w:rPr>
      <w:t>AI-generated from the data and checked against it; paper baseline as of 12 October 2026.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1182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1182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United States: energy security, economic opportunity and partnership priorities</dc:title>
  <dc:subject>Country Insights policy memo</dc:subject>
  <dc:creator>NEIS Center, Allied Industrial Base Explorer (AI-generated, checked against the data)</dc:creator>
  <cp:keywords>energy security; economic opportunity; Strategic Index; Partnership Strength Index; USA</cp:keywords>
  <dc:description>paper baseline as of 12 October 2026; fact sheet sha256 8ddaa29729a0db26f49e0822e11c99a086cbe023befce7b8e0a568fb51faaf98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