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EF3A" w14:textId="77777777" w:rsidR="00D216E0" w:rsidRPr="003554E7" w:rsidRDefault="00D216E0" w:rsidP="00D216E0">
      <w:pPr>
        <w:pStyle w:val="Heading1"/>
      </w:pPr>
      <w:r w:rsidRPr="003554E7">
        <w:t>Technical Appendix: Methodology for Energy Security &amp; Economic Opportunity Indices</w:t>
      </w:r>
    </w:p>
    <w:p w14:paraId="09FB7631" w14:textId="77777777" w:rsidR="00D216E0" w:rsidRPr="00E1169D" w:rsidRDefault="00AC323E" w:rsidP="00D216E0">
      <w:r>
        <w:rPr>
          <w:noProof/>
        </w:rPr>
        <w:pict w14:anchorId="1722E7BF">
          <v:rect id="_x0000_i1025" alt="" style="width:468pt;height:.05pt;mso-width-percent:0;mso-height-percent:0;mso-width-percent:0;mso-height-percent:0" o:hralign="center" o:hrstd="t" o:hr="t" fillcolor="#a0a0a0" stroked="f"/>
        </w:pict>
      </w:r>
    </w:p>
    <w:p w14:paraId="0EF1DB7E" w14:textId="77777777" w:rsidR="00D216E0" w:rsidRPr="00E1169D" w:rsidRDefault="00D216E0" w:rsidP="00D216E0">
      <w:pPr>
        <w:pStyle w:val="Heading2"/>
      </w:pPr>
      <w:r w:rsidRPr="00E1169D">
        <w:t xml:space="preserve">1. Purpose and Architecture of the </w:t>
      </w:r>
      <w:r>
        <w:t>Composite Indices</w:t>
      </w:r>
    </w:p>
    <w:p w14:paraId="6F7E3242" w14:textId="77777777" w:rsidR="00D216E0" w:rsidRPr="00E1169D" w:rsidRDefault="00D216E0" w:rsidP="00D216E0">
      <w:r w:rsidRPr="00E1169D">
        <w:t xml:space="preserve">The </w:t>
      </w:r>
      <w:r>
        <w:t>appendix</w:t>
      </w:r>
      <w:r w:rsidRPr="00E1169D">
        <w:t xml:space="preserve"> </w:t>
      </w:r>
      <w:r>
        <w:t>describes</w:t>
      </w:r>
      <w:r w:rsidRPr="00E1169D">
        <w:t xml:space="preserve"> a </w:t>
      </w:r>
      <w:r w:rsidRPr="737AA903">
        <w:rPr>
          <w:b/>
          <w:bCs/>
        </w:rPr>
        <w:t>multipillar</w:t>
      </w:r>
      <w:r w:rsidRPr="00E1169D">
        <w:rPr>
          <w:b/>
          <w:bCs/>
        </w:rPr>
        <w:t xml:space="preserve"> decision framework</w:t>
      </w:r>
      <w:r w:rsidRPr="00E1169D">
        <w:t xml:space="preserve"> that scores energy</w:t>
      </w:r>
      <w:r>
        <w:t xml:space="preserve"> </w:t>
      </w:r>
      <w:r w:rsidRPr="00E1169D">
        <w:t>related technologies and trade partners along three lenses:</w:t>
      </w:r>
    </w:p>
    <w:tbl>
      <w:tblPr>
        <w:tblStyle w:val="GridTable1Light-Accent2"/>
        <w:tblW w:w="0" w:type="auto"/>
        <w:tblLook w:val="04A0" w:firstRow="1" w:lastRow="0" w:firstColumn="1" w:lastColumn="0" w:noHBand="0" w:noVBand="1"/>
      </w:tblPr>
      <w:tblGrid>
        <w:gridCol w:w="1666"/>
        <w:gridCol w:w="3859"/>
        <w:gridCol w:w="3825"/>
      </w:tblGrid>
      <w:tr w:rsidR="00D216E0" w:rsidRPr="00E1169D" w14:paraId="54A962D7"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B04BD" w14:textId="77777777" w:rsidR="00D216E0" w:rsidRPr="00E1169D" w:rsidRDefault="00D216E0" w:rsidP="00C50100">
            <w:pPr>
              <w:rPr>
                <w:b w:val="0"/>
                <w:bCs w:val="0"/>
              </w:rPr>
            </w:pPr>
            <w:r w:rsidRPr="00E1169D">
              <w:t>Pillar</w:t>
            </w:r>
          </w:p>
        </w:tc>
        <w:tc>
          <w:tcPr>
            <w:tcW w:w="0" w:type="auto"/>
            <w:hideMark/>
          </w:tcPr>
          <w:p w14:paraId="59D19CC0" w14:textId="77777777" w:rsidR="00D216E0" w:rsidRPr="00E1169D"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E1169D">
              <w:t>Question answered</w:t>
            </w:r>
          </w:p>
        </w:tc>
        <w:tc>
          <w:tcPr>
            <w:tcW w:w="0" w:type="auto"/>
            <w:hideMark/>
          </w:tcPr>
          <w:p w14:paraId="597766A3" w14:textId="77777777" w:rsidR="00D216E0" w:rsidRPr="00E1169D"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E1169D">
              <w:t>Unit of analysis</w:t>
            </w:r>
          </w:p>
        </w:tc>
      </w:tr>
      <w:tr w:rsidR="00D216E0" w:rsidRPr="00E1169D" w14:paraId="1C26387D"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0141B3F7" w14:textId="77777777" w:rsidR="00D216E0" w:rsidRPr="0019061E" w:rsidRDefault="00D216E0" w:rsidP="00C50100">
            <w:pPr>
              <w:rPr>
                <w:sz w:val="22"/>
                <w:szCs w:val="22"/>
              </w:rPr>
            </w:pPr>
            <w:r w:rsidRPr="0019061E">
              <w:rPr>
                <w:sz w:val="22"/>
                <w:szCs w:val="22"/>
              </w:rPr>
              <w:t>Energy Security (ES)</w:t>
            </w:r>
          </w:p>
        </w:tc>
        <w:tc>
          <w:tcPr>
            <w:tcW w:w="0" w:type="auto"/>
            <w:hideMark/>
          </w:tcPr>
          <w:p w14:paraId="50A1C6BF"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i/>
                <w:iCs/>
                <w:sz w:val="22"/>
                <w:szCs w:val="22"/>
              </w:rPr>
              <w:t>“How exposed is the United</w:t>
            </w:r>
            <w:r w:rsidRPr="0019061E">
              <w:rPr>
                <w:rFonts w:ascii="Arial" w:hAnsi="Arial" w:cs="Arial"/>
                <w:i/>
                <w:iCs/>
                <w:sz w:val="22"/>
                <w:szCs w:val="22"/>
              </w:rPr>
              <w:t> </w:t>
            </w:r>
            <w:r w:rsidRPr="0019061E">
              <w:rPr>
                <w:i/>
                <w:iCs/>
                <w:sz w:val="22"/>
                <w:szCs w:val="22"/>
              </w:rPr>
              <w:t>States (or a partner) to supply shocks, import dependence and resource scarcity for a given technology and stage of the supply chain?</w:t>
            </w:r>
            <w:r w:rsidRPr="0019061E">
              <w:rPr>
                <w:rFonts w:ascii="Aptos" w:hAnsi="Aptos" w:cs="Aptos"/>
                <w:i/>
                <w:iCs/>
                <w:sz w:val="22"/>
                <w:szCs w:val="22"/>
              </w:rPr>
              <w:t>”</w:t>
            </w:r>
          </w:p>
        </w:tc>
        <w:tc>
          <w:tcPr>
            <w:tcW w:w="0" w:type="auto"/>
            <w:hideMark/>
          </w:tcPr>
          <w:p w14:paraId="69527A2E"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sz w:val="22"/>
                <w:szCs w:val="22"/>
              </w:rPr>
              <w:t>Country</w:t>
            </w:r>
            <w:r w:rsidRPr="0019061E">
              <w:rPr>
                <w:rFonts w:ascii="Arial" w:hAnsi="Arial" w:cs="Arial"/>
                <w:sz w:val="22"/>
                <w:szCs w:val="22"/>
              </w:rPr>
              <w:t> </w:t>
            </w:r>
            <w:r w:rsidRPr="0019061E">
              <w:rPr>
                <w:rFonts w:ascii="Aptos" w:hAnsi="Aptos" w:cs="Aptos"/>
                <w:sz w:val="22"/>
                <w:szCs w:val="22"/>
              </w:rPr>
              <w:t>×</w:t>
            </w:r>
            <w:r w:rsidRPr="0019061E">
              <w:rPr>
                <w:rFonts w:ascii="Arial" w:hAnsi="Arial" w:cs="Arial"/>
                <w:sz w:val="22"/>
                <w:szCs w:val="22"/>
              </w:rPr>
              <w:t> </w:t>
            </w:r>
            <w:r w:rsidRPr="0019061E">
              <w:rPr>
                <w:sz w:val="22"/>
                <w:szCs w:val="22"/>
              </w:rPr>
              <w:t>Technology</w:t>
            </w:r>
            <w:r w:rsidRPr="0019061E">
              <w:rPr>
                <w:rFonts w:ascii="Arial" w:hAnsi="Arial" w:cs="Arial"/>
                <w:sz w:val="22"/>
                <w:szCs w:val="22"/>
              </w:rPr>
              <w:t> </w:t>
            </w:r>
            <w:r w:rsidRPr="0019061E">
              <w:rPr>
                <w:rFonts w:ascii="Aptos" w:hAnsi="Aptos" w:cs="Aptos"/>
                <w:sz w:val="22"/>
                <w:szCs w:val="22"/>
              </w:rPr>
              <w:t>×</w:t>
            </w:r>
            <w:r w:rsidRPr="0019061E">
              <w:rPr>
                <w:rFonts w:ascii="Arial" w:hAnsi="Arial" w:cs="Arial"/>
                <w:sz w:val="22"/>
                <w:szCs w:val="22"/>
              </w:rPr>
              <w:t> </w:t>
            </w:r>
            <w:r w:rsidRPr="0019061E">
              <w:rPr>
                <w:sz w:val="22"/>
                <w:szCs w:val="22"/>
              </w:rPr>
              <w:t>Supply</w:t>
            </w:r>
            <w:r w:rsidRPr="0019061E">
              <w:rPr>
                <w:sz w:val="22"/>
                <w:szCs w:val="22"/>
              </w:rPr>
              <w:noBreakHyphen/>
              <w:t>chain stage</w:t>
            </w:r>
            <w:r>
              <w:rPr>
                <w:sz w:val="22"/>
                <w:szCs w:val="22"/>
              </w:rPr>
              <w:t>*</w:t>
            </w:r>
          </w:p>
        </w:tc>
      </w:tr>
      <w:tr w:rsidR="00D216E0" w:rsidRPr="00E1169D" w14:paraId="4910FFF3"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0151DDF8" w14:textId="77777777" w:rsidR="00D216E0" w:rsidRPr="0019061E" w:rsidRDefault="00D216E0" w:rsidP="00C50100">
            <w:pPr>
              <w:rPr>
                <w:sz w:val="22"/>
                <w:szCs w:val="22"/>
              </w:rPr>
            </w:pPr>
            <w:r w:rsidRPr="0019061E">
              <w:rPr>
                <w:sz w:val="22"/>
                <w:szCs w:val="22"/>
              </w:rPr>
              <w:t>Economic Opportunity (EO)</w:t>
            </w:r>
          </w:p>
        </w:tc>
        <w:tc>
          <w:tcPr>
            <w:tcW w:w="0" w:type="auto"/>
            <w:hideMark/>
          </w:tcPr>
          <w:p w14:paraId="3CBD1C4E"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i/>
                <w:iCs/>
                <w:sz w:val="22"/>
                <w:szCs w:val="22"/>
              </w:rPr>
              <w:t>“Where can U.S. firms most profitably and feasibly expand production, exports or investment?”</w:t>
            </w:r>
          </w:p>
        </w:tc>
        <w:tc>
          <w:tcPr>
            <w:tcW w:w="0" w:type="auto"/>
            <w:hideMark/>
          </w:tcPr>
          <w:p w14:paraId="3DF3B26E"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sz w:val="22"/>
                <w:szCs w:val="22"/>
              </w:rPr>
              <w:t>Same as above</w:t>
            </w:r>
          </w:p>
        </w:tc>
      </w:tr>
      <w:tr w:rsidR="00D216E0" w:rsidRPr="00E1169D" w14:paraId="43824EF3"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C37ECE3" w14:textId="77777777" w:rsidR="00D216E0" w:rsidRPr="0019061E" w:rsidRDefault="00D216E0" w:rsidP="00C50100">
            <w:pPr>
              <w:rPr>
                <w:sz w:val="22"/>
                <w:szCs w:val="22"/>
              </w:rPr>
            </w:pPr>
            <w:r w:rsidRPr="0019061E">
              <w:rPr>
                <w:sz w:val="22"/>
                <w:szCs w:val="22"/>
              </w:rPr>
              <w:t>Partnership Strength (PSI)</w:t>
            </w:r>
          </w:p>
        </w:tc>
        <w:tc>
          <w:tcPr>
            <w:tcW w:w="0" w:type="auto"/>
            <w:hideMark/>
          </w:tcPr>
          <w:p w14:paraId="7887919C"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i/>
                <w:iCs/>
                <w:sz w:val="22"/>
                <w:szCs w:val="22"/>
              </w:rPr>
              <w:t>“Which bilateral relationships deliver the best mix of reduced risk, commercial upside and executability?”</w:t>
            </w:r>
          </w:p>
        </w:tc>
        <w:tc>
          <w:tcPr>
            <w:tcW w:w="0" w:type="auto"/>
            <w:hideMark/>
          </w:tcPr>
          <w:p w14:paraId="03EA0303"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sz w:val="22"/>
                <w:szCs w:val="22"/>
              </w:rPr>
              <w:t>Country (aggregate across techs)</w:t>
            </w:r>
          </w:p>
        </w:tc>
      </w:tr>
    </w:tbl>
    <w:p w14:paraId="791B9757" w14:textId="77777777" w:rsidR="00D216E0" w:rsidRPr="00337C6F" w:rsidRDefault="00D216E0" w:rsidP="00D216E0">
      <w:pPr>
        <w:rPr>
          <w:i/>
        </w:rPr>
      </w:pPr>
      <w:r>
        <w:t xml:space="preserve">* </w:t>
      </w:r>
      <w:r w:rsidRPr="00337C6F">
        <w:rPr>
          <w:i/>
        </w:rPr>
        <w:t xml:space="preserve">Supply chain stage can up-, mid- and downstream. Upstream refers to the extraction of raw materials for respective technology; midstream refers to converting the raw materials to the finished product for respective technology (e.g. </w:t>
      </w:r>
      <w:r w:rsidRPr="00337C6F">
        <w:rPr>
          <w:i/>
          <w:iCs/>
        </w:rPr>
        <w:t xml:space="preserve">batteries); downstream is the industry associated with </w:t>
      </w:r>
      <w:r>
        <w:rPr>
          <w:i/>
          <w:iCs/>
        </w:rPr>
        <w:t>distribution/</w:t>
      </w:r>
      <w:r w:rsidRPr="00337C6F">
        <w:rPr>
          <w:i/>
          <w:iCs/>
        </w:rPr>
        <w:t>after-sales support</w:t>
      </w:r>
      <w:r>
        <w:rPr>
          <w:i/>
          <w:iCs/>
        </w:rPr>
        <w:t>/lifecycle management.</w:t>
      </w:r>
    </w:p>
    <w:p w14:paraId="3289E75B" w14:textId="77777777" w:rsidR="00D216E0" w:rsidRPr="00E1169D" w:rsidRDefault="00D216E0" w:rsidP="00D216E0">
      <w:r w:rsidRPr="00E1169D">
        <w:t xml:space="preserve">Each pillar is an </w:t>
      </w:r>
      <w:r w:rsidRPr="00E1169D">
        <w:rPr>
          <w:b/>
          <w:bCs/>
        </w:rPr>
        <w:t>index-of-indices</w:t>
      </w:r>
      <w:r w:rsidRPr="00E1169D">
        <w:t>: the code first turns dozens of raw metrics into comparable 0–1 scores, then blends them with explicit weights to obtain composite indices. The workflow is fully reproducible</w:t>
      </w:r>
      <w:r>
        <w:t>, authors used an</w:t>
      </w:r>
      <w:r w:rsidRPr="00E1169D">
        <w:t xml:space="preserve"> R</w:t>
      </w:r>
      <w:r w:rsidRPr="00E1169D">
        <w:noBreakHyphen/>
        <w:t>based</w:t>
      </w:r>
      <w:r>
        <w:t xml:space="preserve"> code</w:t>
      </w:r>
      <w:r w:rsidRPr="00E1169D">
        <w:t xml:space="preserve">. </w:t>
      </w:r>
    </w:p>
    <w:p w14:paraId="6F7D668C" w14:textId="77777777" w:rsidR="00D216E0" w:rsidRPr="00E1169D" w:rsidRDefault="00AC323E" w:rsidP="00D216E0">
      <w:r>
        <w:rPr>
          <w:noProof/>
        </w:rPr>
        <w:pict w14:anchorId="31214AC1">
          <v:rect id="_x0000_i1026" alt="" style="width:468pt;height:.05pt;mso-width-percent:0;mso-height-percent:0;mso-width-percent:0;mso-height-percent:0" o:hralign="center" o:hrstd="t" o:hr="t" fillcolor="#a0a0a0" stroked="f"/>
        </w:pict>
      </w:r>
    </w:p>
    <w:p w14:paraId="38D3F68E" w14:textId="77777777" w:rsidR="00D216E0" w:rsidRPr="00E1169D" w:rsidRDefault="00D216E0" w:rsidP="00D216E0">
      <w:pPr>
        <w:pStyle w:val="Heading2"/>
      </w:pPr>
      <w:r w:rsidRPr="00E1169D">
        <w:t>2. Converting Raw Data into Comparable Scores</w:t>
      </w:r>
    </w:p>
    <w:p w14:paraId="36A67C6E" w14:textId="77777777" w:rsidR="00D216E0" w:rsidRPr="00E1169D" w:rsidRDefault="00D216E0" w:rsidP="00D216E0">
      <w:pPr>
        <w:numPr>
          <w:ilvl w:val="0"/>
          <w:numId w:val="1"/>
        </w:numPr>
      </w:pPr>
      <w:r w:rsidRPr="00E1169D">
        <w:rPr>
          <w:b/>
          <w:bCs/>
        </w:rPr>
        <w:t>Percentile transformation with an S</w:t>
      </w:r>
      <w:r w:rsidRPr="00E1169D">
        <w:rPr>
          <w:b/>
          <w:bCs/>
        </w:rPr>
        <w:noBreakHyphen/>
        <w:t>curve.</w:t>
      </w:r>
    </w:p>
    <w:p w14:paraId="2C004F72" w14:textId="77777777" w:rsidR="00D216E0" w:rsidRPr="00E1169D" w:rsidRDefault="00D216E0" w:rsidP="00D216E0">
      <w:pPr>
        <w:numPr>
          <w:ilvl w:val="0"/>
          <w:numId w:val="1"/>
        </w:numPr>
      </w:pPr>
      <w:r w:rsidRPr="00E1169D">
        <w:t>median_s</w:t>
      </w:r>
      <w:r>
        <w:t>-</w:t>
      </w:r>
      <w:r w:rsidRPr="00E1169D">
        <w:t>curve(x, γ = 0.5)</w:t>
      </w:r>
    </w:p>
    <w:p w14:paraId="22F486D5" w14:textId="77777777" w:rsidR="00D216E0" w:rsidRPr="00E1169D" w:rsidRDefault="00D216E0" w:rsidP="00D216E0">
      <w:pPr>
        <w:numPr>
          <w:ilvl w:val="1"/>
          <w:numId w:val="1"/>
        </w:numPr>
      </w:pPr>
      <w:r w:rsidRPr="00E1169D">
        <w:t>Step</w:t>
      </w:r>
      <w:r w:rsidRPr="00E1169D">
        <w:rPr>
          <w:rFonts w:ascii="Arial" w:hAnsi="Arial" w:cs="Arial"/>
        </w:rPr>
        <w:t> </w:t>
      </w:r>
      <w:r w:rsidRPr="00E1169D">
        <w:t xml:space="preserve">1 </w:t>
      </w:r>
      <w:r w:rsidRPr="00E1169D">
        <w:rPr>
          <w:rFonts w:ascii="Aptos" w:hAnsi="Aptos" w:cs="Aptos"/>
        </w:rPr>
        <w:t>–</w:t>
      </w:r>
      <w:r w:rsidRPr="00E1169D">
        <w:t xml:space="preserve"> percentile</w:t>
      </w:r>
      <w:r w:rsidRPr="00E1169D">
        <w:noBreakHyphen/>
        <w:t>rank every observation.</w:t>
      </w:r>
    </w:p>
    <w:p w14:paraId="19E5589F" w14:textId="77777777" w:rsidR="00D216E0" w:rsidRPr="004541D9" w:rsidRDefault="00D216E0" w:rsidP="00D216E0">
      <w:pPr>
        <w:numPr>
          <w:ilvl w:val="1"/>
          <w:numId w:val="1"/>
        </w:numPr>
        <w:rPr>
          <w:sz w:val="20"/>
          <w:szCs w:val="20"/>
        </w:rPr>
      </w:pPr>
      <w:r w:rsidRPr="00E1169D">
        <w:t>Step</w:t>
      </w:r>
      <w:r w:rsidRPr="004541D9">
        <w:rPr>
          <w:rFonts w:ascii="Arial" w:hAnsi="Arial" w:cs="Arial"/>
        </w:rPr>
        <w:t> </w:t>
      </w:r>
      <w:r w:rsidRPr="00E1169D">
        <w:t xml:space="preserve">2 </w:t>
      </w:r>
      <w:r w:rsidRPr="004541D9">
        <w:rPr>
          <w:rFonts w:ascii="Aptos" w:hAnsi="Aptos" w:cs="Aptos"/>
        </w:rPr>
        <w:t>–</w:t>
      </w:r>
      <w:r w:rsidRPr="00E1169D">
        <w:t xml:space="preserve"> reshape the cumulative distribution with</w:t>
      </w:r>
      <w:r>
        <w:t xml:space="preserve">: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r</m:t>
            </m:r>
          </m:e>
        </m:d>
        <m:r>
          <w:rPr>
            <w:rFonts w:ascii="Cambria Math" w:hAnsi="Cambria Math"/>
            <w:sz w:val="20"/>
            <w:szCs w:val="20"/>
          </w:rPr>
          <m:t xml:space="preserve">= </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γ</m:t>
                </m:r>
              </m:sup>
            </m:sSup>
          </m:num>
          <m:den>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γ</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(1-r)</m:t>
                </m:r>
              </m:e>
              <m:sup>
                <m:r>
                  <w:rPr>
                    <w:rFonts w:ascii="Cambria Math" w:hAnsi="Cambria Math"/>
                    <w:sz w:val="20"/>
                    <w:szCs w:val="20"/>
                  </w:rPr>
                  <m:t>γ</m:t>
                </m:r>
              </m:sup>
            </m:sSup>
          </m:den>
        </m:f>
      </m:oMath>
    </w:p>
    <w:p w14:paraId="0E858AEE" w14:textId="77777777" w:rsidR="00D216E0" w:rsidRPr="00E1169D" w:rsidRDefault="00D216E0" w:rsidP="00D216E0">
      <w:r w:rsidRPr="00E1169D">
        <w:lastRenderedPageBreak/>
        <w:t>where γ</w:t>
      </w:r>
      <w:r w:rsidRPr="00E1169D">
        <w:rPr>
          <w:rFonts w:ascii="Arial" w:hAnsi="Arial" w:cs="Arial"/>
        </w:rPr>
        <w:t> </w:t>
      </w:r>
      <w:r w:rsidRPr="00E1169D">
        <w:t>&lt;</w:t>
      </w:r>
      <w:r w:rsidRPr="00E1169D">
        <w:rPr>
          <w:rFonts w:ascii="Arial" w:hAnsi="Arial" w:cs="Arial"/>
        </w:rPr>
        <w:t> </w:t>
      </w:r>
      <w:r w:rsidRPr="00E1169D">
        <w:t>1 flattens the middle and steepens the tails.</w:t>
      </w:r>
    </w:p>
    <w:p w14:paraId="342F84A9" w14:textId="77777777" w:rsidR="00D216E0" w:rsidRPr="00E1169D" w:rsidRDefault="00D216E0" w:rsidP="00D216E0">
      <w:pPr>
        <w:numPr>
          <w:ilvl w:val="1"/>
          <w:numId w:val="1"/>
        </w:numPr>
      </w:pPr>
      <w:r w:rsidRPr="00E1169D">
        <w:t>Practical effect: extreme performers get extra credit/penalty; mid</w:t>
      </w:r>
      <w:r w:rsidRPr="00E1169D">
        <w:noBreakHyphen/>
        <w:t>pack countries are compressed.</w:t>
      </w:r>
    </w:p>
    <w:p w14:paraId="1E0103B7" w14:textId="77777777" w:rsidR="00D216E0" w:rsidRPr="00E1169D" w:rsidRDefault="00D216E0" w:rsidP="00D216E0">
      <w:pPr>
        <w:numPr>
          <w:ilvl w:val="0"/>
          <w:numId w:val="1"/>
        </w:numPr>
      </w:pPr>
      <w:r w:rsidRPr="00E1169D">
        <w:rPr>
          <w:b/>
          <w:bCs/>
        </w:rPr>
        <w:t>Two data types.</w:t>
      </w:r>
      <w:r w:rsidRPr="00E1169D">
        <w:t xml:space="preserve"> Every metric is kept twice:</w:t>
      </w:r>
    </w:p>
    <w:p w14:paraId="27F83F6D" w14:textId="77777777" w:rsidR="00D216E0" w:rsidRPr="00E1169D" w:rsidRDefault="00D216E0" w:rsidP="00D216E0">
      <w:pPr>
        <w:numPr>
          <w:ilvl w:val="1"/>
          <w:numId w:val="1"/>
        </w:numPr>
      </w:pPr>
      <w:r w:rsidRPr="00E1169D">
        <w:t>raw – the physical unit (e.g., EJ of net gas imports);</w:t>
      </w:r>
    </w:p>
    <w:p w14:paraId="79A5F80F" w14:textId="77777777" w:rsidR="00D216E0" w:rsidRPr="00E1169D" w:rsidRDefault="00D216E0" w:rsidP="00D216E0">
      <w:pPr>
        <w:numPr>
          <w:ilvl w:val="1"/>
          <w:numId w:val="1"/>
        </w:numPr>
      </w:pPr>
      <w:r w:rsidRPr="00E1169D">
        <w:t>index – the S</w:t>
      </w:r>
      <w:r w:rsidRPr="00E1169D">
        <w:noBreakHyphen/>
        <w:t>curved percentile.</w:t>
      </w:r>
      <w:r w:rsidRPr="00E1169D">
        <w:br/>
        <w:t>Analysis downstream always uses the index columns so that heterogeneous variables (percent, kt, $) can be averaged.</w:t>
      </w:r>
    </w:p>
    <w:p w14:paraId="6F2A51E1" w14:textId="77777777" w:rsidR="00D216E0" w:rsidRPr="00E1169D" w:rsidRDefault="00D216E0" w:rsidP="00D216E0">
      <w:pPr>
        <w:numPr>
          <w:ilvl w:val="0"/>
          <w:numId w:val="1"/>
        </w:numPr>
      </w:pPr>
      <w:r w:rsidRPr="00E1169D">
        <w:rPr>
          <w:b/>
          <w:bCs/>
        </w:rPr>
        <w:t>Aggregation rules.</w:t>
      </w:r>
    </w:p>
    <w:p w14:paraId="45941D73" w14:textId="77777777" w:rsidR="00D216E0" w:rsidRPr="00E1169D" w:rsidRDefault="00D216E0" w:rsidP="00D216E0">
      <w:pPr>
        <w:numPr>
          <w:ilvl w:val="1"/>
          <w:numId w:val="1"/>
        </w:numPr>
      </w:pPr>
      <w:r w:rsidRPr="00E1169D">
        <w:rPr>
          <w:i/>
          <w:iCs/>
        </w:rPr>
        <w:t>Within category</w:t>
      </w:r>
      <w:r w:rsidRPr="00E1169D">
        <w:t xml:space="preserve"> (e.g., “Reserves”): simple un</w:t>
      </w:r>
      <w:r w:rsidRPr="00E1169D">
        <w:noBreakHyphen/>
        <w:t>weighted mean of the relevant sub</w:t>
      </w:r>
      <w:r w:rsidRPr="00E1169D">
        <w:noBreakHyphen/>
        <w:t>indices.</w:t>
      </w:r>
    </w:p>
    <w:p w14:paraId="5E3A903B" w14:textId="77777777" w:rsidR="00D216E0" w:rsidRPr="00E1169D" w:rsidRDefault="00D216E0" w:rsidP="00D216E0">
      <w:pPr>
        <w:numPr>
          <w:ilvl w:val="1"/>
          <w:numId w:val="1"/>
        </w:numPr>
      </w:pPr>
      <w:r w:rsidRPr="00E1169D">
        <w:rPr>
          <w:i/>
          <w:iCs/>
        </w:rPr>
        <w:t>Across categories</w:t>
      </w:r>
      <w:r w:rsidRPr="00E1169D">
        <w:t xml:space="preserve"> into a pillar: weighted mean using domain</w:t>
      </w:r>
      <w:r w:rsidRPr="00E1169D">
        <w:noBreakHyphen/>
        <w:t>specific importance weights (see section</w:t>
      </w:r>
      <w:r w:rsidRPr="00E1169D">
        <w:rPr>
          <w:rFonts w:ascii="Arial" w:hAnsi="Arial" w:cs="Arial"/>
        </w:rPr>
        <w:t> </w:t>
      </w:r>
      <w:r w:rsidRPr="00E1169D">
        <w:t>4).</w:t>
      </w:r>
    </w:p>
    <w:p w14:paraId="07BBFDE8" w14:textId="77777777" w:rsidR="00D216E0" w:rsidRDefault="00D216E0" w:rsidP="00D216E0">
      <w:pPr>
        <w:numPr>
          <w:ilvl w:val="1"/>
          <w:numId w:val="1"/>
        </w:numPr>
      </w:pPr>
      <w:r w:rsidRPr="00E1169D">
        <w:t xml:space="preserve">Technologies are scored separately for </w:t>
      </w:r>
      <w:r w:rsidRPr="00E1169D">
        <w:rPr>
          <w:b/>
          <w:bCs/>
        </w:rPr>
        <w:t>Up</w:t>
      </w:r>
      <w:r w:rsidRPr="00E1169D">
        <w:rPr>
          <w:b/>
          <w:bCs/>
        </w:rPr>
        <w:noBreakHyphen/>
        <w:t>, Mid</w:t>
      </w:r>
      <w:r w:rsidRPr="00E1169D">
        <w:rPr>
          <w:b/>
          <w:bCs/>
        </w:rPr>
        <w:noBreakHyphen/>
        <w:t xml:space="preserve"> and Down</w:t>
      </w:r>
      <w:r w:rsidRPr="00E1169D">
        <w:rPr>
          <w:b/>
          <w:bCs/>
        </w:rPr>
        <w:noBreakHyphen/>
        <w:t>stream</w:t>
      </w:r>
      <w:r w:rsidRPr="00E1169D">
        <w:t xml:space="preserve"> segments to keep mining, manufacturing and power</w:t>
      </w:r>
      <w:r w:rsidRPr="00E1169D">
        <w:noBreakHyphen/>
        <w:t>generation issues distinct.</w:t>
      </w:r>
    </w:p>
    <w:p w14:paraId="520851EC" w14:textId="77777777" w:rsidR="00D216E0" w:rsidRPr="00E1169D" w:rsidRDefault="00AC323E" w:rsidP="00D216E0">
      <w:r>
        <w:rPr>
          <w:noProof/>
        </w:rPr>
        <w:pict w14:anchorId="653D8E36">
          <v:rect id="_x0000_i1027" alt="" style="width:468pt;height:.05pt;mso-width-percent:0;mso-height-percent:0;mso-width-percent:0;mso-height-percent:0" o:hralign="center" o:hrstd="t" o:hr="t" fillcolor="#a0a0a0" stroked="f"/>
        </w:pict>
      </w:r>
    </w:p>
    <w:p w14:paraId="243B9DC2" w14:textId="77777777" w:rsidR="00D216E0" w:rsidRPr="00E1169D" w:rsidRDefault="00D216E0" w:rsidP="00D216E0">
      <w:pPr>
        <w:pStyle w:val="Heading2"/>
      </w:pPr>
      <w:r w:rsidRPr="00E1169D">
        <w:t>3. Data Model</w:t>
      </w:r>
    </w:p>
    <w:tbl>
      <w:tblPr>
        <w:tblStyle w:val="GridTable1Light-Accent2"/>
        <w:tblW w:w="0" w:type="auto"/>
        <w:tblLook w:val="04A0" w:firstRow="1" w:lastRow="0" w:firstColumn="1" w:lastColumn="0" w:noHBand="0" w:noVBand="1"/>
      </w:tblPr>
      <w:tblGrid>
        <w:gridCol w:w="1998"/>
        <w:gridCol w:w="7352"/>
      </w:tblGrid>
      <w:tr w:rsidR="00D216E0" w:rsidRPr="00E1169D" w14:paraId="00F2C806"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FD8D8" w14:textId="77777777" w:rsidR="00D216E0" w:rsidRPr="00E1169D" w:rsidRDefault="00D216E0" w:rsidP="00C50100">
            <w:pPr>
              <w:rPr>
                <w:b w:val="0"/>
                <w:bCs w:val="0"/>
              </w:rPr>
            </w:pPr>
            <w:r w:rsidRPr="00E1169D">
              <w:t>Dimension</w:t>
            </w:r>
          </w:p>
        </w:tc>
        <w:tc>
          <w:tcPr>
            <w:tcW w:w="0" w:type="auto"/>
            <w:hideMark/>
          </w:tcPr>
          <w:p w14:paraId="46CEA73E" w14:textId="77777777" w:rsidR="00D216E0" w:rsidRPr="00E1169D"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E1169D">
              <w:t>Values used</w:t>
            </w:r>
          </w:p>
        </w:tc>
      </w:tr>
      <w:tr w:rsidR="00D216E0" w:rsidRPr="00E1169D" w14:paraId="0F5C482A"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7CF04121" w14:textId="77777777" w:rsidR="00D216E0" w:rsidRPr="0019061E" w:rsidRDefault="00D216E0" w:rsidP="00C50100">
            <w:pPr>
              <w:rPr>
                <w:sz w:val="22"/>
                <w:szCs w:val="22"/>
              </w:rPr>
            </w:pPr>
            <w:r w:rsidRPr="0019061E">
              <w:rPr>
                <w:sz w:val="22"/>
                <w:szCs w:val="22"/>
              </w:rPr>
              <w:t>Technologies</w:t>
            </w:r>
          </w:p>
        </w:tc>
        <w:tc>
          <w:tcPr>
            <w:tcW w:w="0" w:type="auto"/>
            <w:hideMark/>
          </w:tcPr>
          <w:p w14:paraId="27FF7C9D"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sz w:val="22"/>
                <w:szCs w:val="22"/>
              </w:rPr>
              <w:t>Batteries, Green</w:t>
            </w:r>
            <w:r w:rsidRPr="0019061E">
              <w:rPr>
                <w:rFonts w:ascii="Arial" w:hAnsi="Arial" w:cs="Arial"/>
                <w:sz w:val="22"/>
                <w:szCs w:val="22"/>
              </w:rPr>
              <w:t> </w:t>
            </w:r>
            <w:r w:rsidRPr="0019061E">
              <w:rPr>
                <w:sz w:val="22"/>
                <w:szCs w:val="22"/>
              </w:rPr>
              <w:t>Hydrogen, Solar, Wind, EVs, Nuclear, Oil, Gas, Coal, Geothermal</w:t>
            </w:r>
          </w:p>
        </w:tc>
      </w:tr>
      <w:tr w:rsidR="00D216E0" w:rsidRPr="00E1169D" w14:paraId="4498D89F"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62491E6A" w14:textId="77777777" w:rsidR="00D216E0" w:rsidRPr="0019061E" w:rsidRDefault="00D216E0" w:rsidP="00C50100">
            <w:pPr>
              <w:rPr>
                <w:sz w:val="22"/>
                <w:szCs w:val="22"/>
              </w:rPr>
            </w:pPr>
            <w:r w:rsidRPr="0019061E">
              <w:rPr>
                <w:sz w:val="22"/>
                <w:szCs w:val="22"/>
              </w:rPr>
              <w:t>Supply</w:t>
            </w:r>
            <w:r w:rsidRPr="0019061E">
              <w:rPr>
                <w:sz w:val="22"/>
                <w:szCs w:val="22"/>
              </w:rPr>
              <w:noBreakHyphen/>
              <w:t>chain stages</w:t>
            </w:r>
          </w:p>
        </w:tc>
        <w:tc>
          <w:tcPr>
            <w:tcW w:w="0" w:type="auto"/>
            <w:hideMark/>
          </w:tcPr>
          <w:p w14:paraId="2A20BA53"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sz w:val="22"/>
                <w:szCs w:val="22"/>
              </w:rPr>
              <w:t>Upstream</w:t>
            </w:r>
            <w:r w:rsidRPr="0019061E">
              <w:rPr>
                <w:rFonts w:ascii="Arial" w:hAnsi="Arial" w:cs="Arial"/>
                <w:sz w:val="22"/>
                <w:szCs w:val="22"/>
              </w:rPr>
              <w:t> </w:t>
            </w:r>
            <w:r w:rsidRPr="0019061E">
              <w:rPr>
                <w:sz w:val="22"/>
                <w:szCs w:val="22"/>
              </w:rPr>
              <w:t xml:space="preserve">(mining &amp; fuels) </w:t>
            </w:r>
            <w:r w:rsidRPr="0019061E">
              <w:rPr>
                <w:rFonts w:ascii="Aptos" w:hAnsi="Aptos" w:cs="Aptos"/>
                <w:sz w:val="22"/>
                <w:szCs w:val="22"/>
              </w:rPr>
              <w:t>•</w:t>
            </w:r>
            <w:r w:rsidRPr="0019061E">
              <w:rPr>
                <w:rFonts w:ascii="Arial" w:hAnsi="Arial" w:cs="Arial"/>
                <w:sz w:val="22"/>
                <w:szCs w:val="22"/>
              </w:rPr>
              <w:t> </w:t>
            </w:r>
            <w:r w:rsidRPr="0019061E">
              <w:rPr>
                <w:sz w:val="22"/>
                <w:szCs w:val="22"/>
              </w:rPr>
              <w:t>Midstream</w:t>
            </w:r>
            <w:r w:rsidRPr="0019061E">
              <w:rPr>
                <w:rFonts w:ascii="Arial" w:hAnsi="Arial" w:cs="Arial"/>
                <w:sz w:val="22"/>
                <w:szCs w:val="22"/>
              </w:rPr>
              <w:t> </w:t>
            </w:r>
            <w:r w:rsidRPr="0019061E">
              <w:rPr>
                <w:sz w:val="22"/>
                <w:szCs w:val="22"/>
              </w:rPr>
              <w:t xml:space="preserve">(processing &amp; manufacturing) </w:t>
            </w:r>
            <w:r w:rsidRPr="0019061E">
              <w:rPr>
                <w:rFonts w:ascii="Aptos" w:hAnsi="Aptos" w:cs="Aptos"/>
                <w:sz w:val="22"/>
                <w:szCs w:val="22"/>
              </w:rPr>
              <w:t>•</w:t>
            </w:r>
            <w:r w:rsidRPr="0019061E">
              <w:rPr>
                <w:rFonts w:ascii="Arial" w:hAnsi="Arial" w:cs="Arial"/>
                <w:sz w:val="22"/>
                <w:szCs w:val="22"/>
              </w:rPr>
              <w:t> </w:t>
            </w:r>
            <w:r w:rsidRPr="0019061E">
              <w:rPr>
                <w:sz w:val="22"/>
                <w:szCs w:val="22"/>
              </w:rPr>
              <w:t>Downstream</w:t>
            </w:r>
            <w:r w:rsidRPr="0019061E">
              <w:rPr>
                <w:rFonts w:ascii="Arial" w:hAnsi="Arial" w:cs="Arial"/>
                <w:sz w:val="22"/>
                <w:szCs w:val="22"/>
              </w:rPr>
              <w:t> </w:t>
            </w:r>
            <w:r w:rsidRPr="0019061E">
              <w:rPr>
                <w:sz w:val="22"/>
                <w:szCs w:val="22"/>
              </w:rPr>
              <w:t>(power or end</w:t>
            </w:r>
            <w:r w:rsidRPr="0019061E">
              <w:rPr>
                <w:sz w:val="22"/>
                <w:szCs w:val="22"/>
              </w:rPr>
              <w:noBreakHyphen/>
              <w:t>use)</w:t>
            </w:r>
          </w:p>
        </w:tc>
      </w:tr>
      <w:tr w:rsidR="00D216E0" w:rsidRPr="00E1169D" w14:paraId="3EF7DE70"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6BB16C4" w14:textId="77777777" w:rsidR="00D216E0" w:rsidRPr="0019061E" w:rsidRDefault="00D216E0" w:rsidP="00C50100">
            <w:pPr>
              <w:rPr>
                <w:sz w:val="22"/>
                <w:szCs w:val="22"/>
              </w:rPr>
            </w:pPr>
            <w:r w:rsidRPr="0019061E">
              <w:rPr>
                <w:sz w:val="22"/>
                <w:szCs w:val="22"/>
              </w:rPr>
              <w:t>Countries</w:t>
            </w:r>
          </w:p>
        </w:tc>
        <w:tc>
          <w:tcPr>
            <w:tcW w:w="0" w:type="auto"/>
            <w:hideMark/>
          </w:tcPr>
          <w:p w14:paraId="42653039"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19061E">
              <w:rPr>
                <w:sz w:val="22"/>
                <w:szCs w:val="22"/>
              </w:rPr>
              <w:t xml:space="preserve">170+ with special attention to the </w:t>
            </w:r>
            <w:r w:rsidRPr="0019061E">
              <w:rPr>
                <w:i/>
                <w:iCs/>
                <w:sz w:val="22"/>
                <w:szCs w:val="22"/>
              </w:rPr>
              <w:t>allies</w:t>
            </w:r>
            <w:r w:rsidRPr="0019061E">
              <w:rPr>
                <w:sz w:val="22"/>
                <w:szCs w:val="22"/>
              </w:rPr>
              <w:t xml:space="preserve"> vector (USA, CAN, JPN, …)</w:t>
            </w:r>
          </w:p>
        </w:tc>
      </w:tr>
    </w:tbl>
    <w:p w14:paraId="461D3F76" w14:textId="77777777" w:rsidR="00D216E0" w:rsidRPr="00E1169D" w:rsidRDefault="00AC323E" w:rsidP="00D216E0">
      <w:r>
        <w:rPr>
          <w:noProof/>
        </w:rPr>
        <w:pict w14:anchorId="0585A9BD">
          <v:rect id="_x0000_i1028" alt="" style="width:468pt;height:.05pt;mso-width-percent:0;mso-height-percent:0;mso-width-percent:0;mso-height-percent:0" o:hralign="center" o:hrstd="t" o:hr="t" fillcolor="#a0a0a0" stroked="f"/>
        </w:pict>
      </w:r>
    </w:p>
    <w:p w14:paraId="6B18645C" w14:textId="77777777" w:rsidR="00D216E0" w:rsidRPr="00E1169D" w:rsidRDefault="00D216E0" w:rsidP="00D216E0">
      <w:pPr>
        <w:pStyle w:val="Heading2"/>
      </w:pPr>
      <w:r w:rsidRPr="00E1169D">
        <w:t>4. Pillar Construction Details</w:t>
      </w:r>
    </w:p>
    <w:tbl>
      <w:tblPr>
        <w:tblStyle w:val="GridTable1Light-Accent2"/>
        <w:tblW w:w="0" w:type="auto"/>
        <w:tblLook w:val="04A0" w:firstRow="1" w:lastRow="0" w:firstColumn="1" w:lastColumn="0" w:noHBand="0" w:noVBand="1"/>
      </w:tblPr>
      <w:tblGrid>
        <w:gridCol w:w="1616"/>
        <w:gridCol w:w="7734"/>
      </w:tblGrid>
      <w:tr w:rsidR="00D216E0" w:rsidRPr="00E1169D" w14:paraId="00C50A45"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F1D1A" w14:textId="77777777" w:rsidR="00D216E0" w:rsidRPr="00E1169D" w:rsidRDefault="00D216E0" w:rsidP="00C50100">
            <w:pPr>
              <w:rPr>
                <w:b w:val="0"/>
                <w:bCs w:val="0"/>
              </w:rPr>
            </w:pPr>
            <w:r w:rsidRPr="00E1169D">
              <w:t>Pillar component</w:t>
            </w:r>
          </w:p>
        </w:tc>
        <w:tc>
          <w:tcPr>
            <w:tcW w:w="0" w:type="auto"/>
            <w:hideMark/>
          </w:tcPr>
          <w:p w14:paraId="219C35B4" w14:textId="77777777" w:rsidR="00D216E0" w:rsidRPr="00E1169D"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E1169D">
              <w:t xml:space="preserve">Variables </w:t>
            </w:r>
          </w:p>
        </w:tc>
      </w:tr>
      <w:tr w:rsidR="00D216E0" w:rsidRPr="00E1169D" w14:paraId="0BD0194A"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2279E4F" w14:textId="77777777" w:rsidR="00D216E0" w:rsidRPr="0019061E" w:rsidRDefault="00D216E0" w:rsidP="00C50100">
            <w:pPr>
              <w:rPr>
                <w:sz w:val="20"/>
                <w:szCs w:val="20"/>
              </w:rPr>
            </w:pPr>
            <w:r w:rsidRPr="0019061E">
              <w:rPr>
                <w:sz w:val="20"/>
                <w:szCs w:val="20"/>
              </w:rPr>
              <w:t>Energy Security</w:t>
            </w:r>
          </w:p>
        </w:tc>
        <w:tc>
          <w:tcPr>
            <w:tcW w:w="0" w:type="auto"/>
            <w:hideMark/>
          </w:tcPr>
          <w:p w14:paraId="64F0FABD"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19061E">
              <w:rPr>
                <w:i/>
                <w:iCs/>
                <w:sz w:val="20"/>
                <w:szCs w:val="20"/>
              </w:rPr>
              <w:t>Foreign dependency</w:t>
            </w:r>
            <w:r w:rsidRPr="0019061E">
              <w:rPr>
                <w:sz w:val="20"/>
                <w:szCs w:val="20"/>
              </w:rPr>
              <w:t xml:space="preserve"> (net</w:t>
            </w:r>
            <w:r w:rsidRPr="0019061E">
              <w:rPr>
                <w:sz w:val="20"/>
                <w:szCs w:val="20"/>
              </w:rPr>
              <w:noBreakHyphen/>
              <w:t>import share, cleantech market</w:t>
            </w:r>
            <w:r w:rsidRPr="0019061E">
              <w:rPr>
                <w:sz w:val="20"/>
                <w:szCs w:val="20"/>
              </w:rPr>
              <w:noBreakHyphen/>
              <w:t xml:space="preserve">share concentration); </w:t>
            </w:r>
            <w:r w:rsidRPr="0019061E">
              <w:rPr>
                <w:i/>
                <w:iCs/>
                <w:sz w:val="20"/>
                <w:szCs w:val="20"/>
              </w:rPr>
              <w:t>Reserves</w:t>
            </w:r>
            <w:r w:rsidRPr="0019061E">
              <w:rPr>
                <w:sz w:val="20"/>
                <w:szCs w:val="20"/>
              </w:rPr>
              <w:t xml:space="preserve"> (fossil &amp; critical minerals); </w:t>
            </w:r>
            <w:r w:rsidRPr="0019061E">
              <w:rPr>
                <w:i/>
                <w:iCs/>
                <w:sz w:val="20"/>
                <w:szCs w:val="20"/>
              </w:rPr>
              <w:t>Resource availability</w:t>
            </w:r>
            <w:r w:rsidRPr="0019061E">
              <w:rPr>
                <w:sz w:val="20"/>
                <w:szCs w:val="20"/>
              </w:rPr>
              <w:t xml:space="preserve">; </w:t>
            </w:r>
            <w:r w:rsidRPr="0019061E">
              <w:rPr>
                <w:i/>
                <w:iCs/>
                <w:sz w:val="20"/>
                <w:szCs w:val="20"/>
              </w:rPr>
              <w:t>Energy access &amp; growth</w:t>
            </w:r>
            <w:r w:rsidRPr="0019061E">
              <w:rPr>
                <w:sz w:val="20"/>
                <w:szCs w:val="20"/>
              </w:rPr>
              <w:t xml:space="preserve">; </w:t>
            </w:r>
            <w:r w:rsidRPr="0019061E">
              <w:rPr>
                <w:i/>
                <w:iCs/>
                <w:sz w:val="20"/>
                <w:szCs w:val="20"/>
              </w:rPr>
              <w:t>Critical</w:t>
            </w:r>
            <w:r w:rsidRPr="0019061E">
              <w:rPr>
                <w:i/>
                <w:iCs/>
                <w:sz w:val="20"/>
                <w:szCs w:val="20"/>
              </w:rPr>
              <w:noBreakHyphen/>
              <w:t>mineral trade indices</w:t>
            </w:r>
          </w:p>
        </w:tc>
      </w:tr>
      <w:tr w:rsidR="00D216E0" w:rsidRPr="00E1169D" w14:paraId="65C66988"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966E7FA" w14:textId="77777777" w:rsidR="00D216E0" w:rsidRPr="0019061E" w:rsidRDefault="00D216E0" w:rsidP="00C50100">
            <w:pPr>
              <w:rPr>
                <w:sz w:val="20"/>
                <w:szCs w:val="20"/>
              </w:rPr>
            </w:pPr>
            <w:r w:rsidRPr="0019061E">
              <w:rPr>
                <w:sz w:val="20"/>
                <w:szCs w:val="20"/>
              </w:rPr>
              <w:t>Economic Opportunity</w:t>
            </w:r>
          </w:p>
        </w:tc>
        <w:tc>
          <w:tcPr>
            <w:tcW w:w="0" w:type="auto"/>
            <w:hideMark/>
          </w:tcPr>
          <w:p w14:paraId="0BDE2F3A"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19061E">
              <w:rPr>
                <w:i/>
                <w:iCs/>
                <w:sz w:val="20"/>
                <w:szCs w:val="20"/>
              </w:rPr>
              <w:t>Trade competitiveness</w:t>
            </w:r>
            <w:r w:rsidRPr="0019061E">
              <w:rPr>
                <w:sz w:val="20"/>
                <w:szCs w:val="20"/>
              </w:rPr>
              <w:t xml:space="preserve"> (RCA, export size, feasibility distance); </w:t>
            </w:r>
            <w:r w:rsidRPr="0019061E">
              <w:rPr>
                <w:i/>
                <w:iCs/>
                <w:sz w:val="20"/>
                <w:szCs w:val="20"/>
              </w:rPr>
              <w:t>Production capacity &amp; growth</w:t>
            </w:r>
            <w:r w:rsidRPr="0019061E">
              <w:rPr>
                <w:sz w:val="20"/>
                <w:szCs w:val="20"/>
              </w:rPr>
              <w:t xml:space="preserve">; </w:t>
            </w:r>
            <w:r w:rsidRPr="0019061E">
              <w:rPr>
                <w:i/>
                <w:iCs/>
                <w:sz w:val="20"/>
                <w:szCs w:val="20"/>
              </w:rPr>
              <w:t>Demand growth &amp; size</w:t>
            </w:r>
            <w:r w:rsidRPr="0019061E">
              <w:rPr>
                <w:sz w:val="20"/>
                <w:szCs w:val="20"/>
              </w:rPr>
              <w:t xml:space="preserve"> (IEA WEO </w:t>
            </w:r>
            <w:r>
              <w:rPr>
                <w:sz w:val="20"/>
                <w:szCs w:val="20"/>
              </w:rPr>
              <w:t>&amp;</w:t>
            </w:r>
            <w:r w:rsidRPr="0019061E">
              <w:rPr>
                <w:sz w:val="20"/>
                <w:szCs w:val="20"/>
              </w:rPr>
              <w:t xml:space="preserve"> BNEF NEO); </w:t>
            </w:r>
            <w:r w:rsidRPr="0019061E">
              <w:rPr>
                <w:i/>
                <w:iCs/>
                <w:sz w:val="20"/>
                <w:szCs w:val="20"/>
              </w:rPr>
              <w:t>Cost competitiveness</w:t>
            </w:r>
            <w:r w:rsidRPr="0019061E">
              <w:rPr>
                <w:sz w:val="20"/>
                <w:szCs w:val="20"/>
              </w:rPr>
              <w:t xml:space="preserve"> (LCOE, </w:t>
            </w:r>
            <w:r w:rsidRPr="0019061E">
              <w:rPr>
                <w:sz w:val="20"/>
                <w:szCs w:val="20"/>
              </w:rPr>
              <w:lastRenderedPageBreak/>
              <w:t xml:space="preserve">equipment cost); </w:t>
            </w:r>
            <w:r w:rsidRPr="0019061E">
              <w:rPr>
                <w:i/>
                <w:iCs/>
                <w:sz w:val="20"/>
                <w:szCs w:val="20"/>
              </w:rPr>
              <w:t>Investment momentum</w:t>
            </w:r>
            <w:r w:rsidRPr="0019061E">
              <w:rPr>
                <w:sz w:val="20"/>
                <w:szCs w:val="20"/>
              </w:rPr>
              <w:t xml:space="preserve"> (BNEF &amp; Clean Investment Monitor); </w:t>
            </w:r>
            <w:r w:rsidRPr="0019061E">
              <w:rPr>
                <w:i/>
                <w:iCs/>
                <w:sz w:val="20"/>
                <w:szCs w:val="20"/>
              </w:rPr>
              <w:t>Over</w:t>
            </w:r>
            <w:r w:rsidRPr="0019061E">
              <w:rPr>
                <w:i/>
                <w:iCs/>
                <w:sz w:val="20"/>
                <w:szCs w:val="20"/>
              </w:rPr>
              <w:noBreakHyphen/>
              <w:t>capacity signals</w:t>
            </w:r>
          </w:p>
        </w:tc>
      </w:tr>
      <w:tr w:rsidR="00D216E0" w:rsidRPr="00E1169D" w14:paraId="10185B6C"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07CB7FB8" w14:textId="77777777" w:rsidR="00D216E0" w:rsidRPr="0019061E" w:rsidRDefault="00D216E0" w:rsidP="00C50100">
            <w:pPr>
              <w:rPr>
                <w:sz w:val="20"/>
                <w:szCs w:val="20"/>
              </w:rPr>
            </w:pPr>
            <w:r w:rsidRPr="0019061E">
              <w:rPr>
                <w:sz w:val="20"/>
                <w:szCs w:val="20"/>
              </w:rPr>
              <w:lastRenderedPageBreak/>
              <w:t>Partnership Strength</w:t>
            </w:r>
          </w:p>
        </w:tc>
        <w:tc>
          <w:tcPr>
            <w:tcW w:w="0" w:type="auto"/>
            <w:hideMark/>
          </w:tcPr>
          <w:p w14:paraId="24EF6C3E" w14:textId="77777777" w:rsidR="00D216E0" w:rsidRPr="0019061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19061E">
              <w:rPr>
                <w:sz w:val="20"/>
                <w:szCs w:val="20"/>
              </w:rPr>
              <w:t xml:space="preserve">Combines </w:t>
            </w:r>
            <w:r w:rsidRPr="0019061E">
              <w:rPr>
                <w:b/>
                <w:bCs/>
                <w:sz w:val="20"/>
                <w:szCs w:val="20"/>
              </w:rPr>
              <w:t>friend</w:t>
            </w:r>
            <w:r w:rsidRPr="0019061E">
              <w:rPr>
                <w:b/>
                <w:bCs/>
                <w:sz w:val="20"/>
                <w:szCs w:val="20"/>
              </w:rPr>
              <w:noBreakHyphen/>
              <w:t>shoring risk</w:t>
            </w:r>
            <w:r w:rsidRPr="0019061E">
              <w:rPr>
                <w:sz w:val="20"/>
                <w:szCs w:val="20"/>
              </w:rPr>
              <w:t xml:space="preserve"> (inverse of ES for U.S. imports), </w:t>
            </w:r>
            <w:r w:rsidRPr="0019061E">
              <w:rPr>
                <w:b/>
                <w:bCs/>
                <w:sz w:val="20"/>
                <w:szCs w:val="20"/>
              </w:rPr>
              <w:t>export opportunity</w:t>
            </w:r>
            <w:r w:rsidRPr="0019061E">
              <w:rPr>
                <w:sz w:val="20"/>
                <w:szCs w:val="20"/>
              </w:rPr>
              <w:t xml:space="preserve">, </w:t>
            </w:r>
            <w:r w:rsidRPr="0019061E">
              <w:rPr>
                <w:b/>
                <w:bCs/>
                <w:sz w:val="20"/>
                <w:szCs w:val="20"/>
              </w:rPr>
              <w:t>development / enabling environment</w:t>
            </w:r>
            <w:r w:rsidRPr="0019061E">
              <w:rPr>
                <w:sz w:val="20"/>
                <w:szCs w:val="20"/>
              </w:rPr>
              <w:t xml:space="preserve"> plus U.S. outbound FDI and formal energy MoUs. </w:t>
            </w:r>
            <w:r w:rsidRPr="0019061E">
              <w:rPr>
                <w:sz w:val="20"/>
                <w:szCs w:val="20"/>
              </w:rPr>
              <w:br/>
              <w:t>Final blend: 0.4</w:t>
            </w:r>
            <w:r w:rsidRPr="0019061E">
              <w:rPr>
                <w:rFonts w:ascii="Arial" w:hAnsi="Arial" w:cs="Arial"/>
                <w:sz w:val="20"/>
                <w:szCs w:val="20"/>
              </w:rPr>
              <w:t> </w:t>
            </w:r>
            <w:r w:rsidRPr="0019061E">
              <w:rPr>
                <w:rFonts w:ascii="Aptos" w:hAnsi="Aptos" w:cs="Aptos"/>
                <w:sz w:val="20"/>
                <w:szCs w:val="20"/>
              </w:rPr>
              <w:t>×</w:t>
            </w:r>
            <w:r w:rsidRPr="0019061E">
              <w:rPr>
                <w:rFonts w:ascii="Arial" w:hAnsi="Arial" w:cs="Arial"/>
                <w:sz w:val="20"/>
                <w:szCs w:val="20"/>
              </w:rPr>
              <w:t> </w:t>
            </w:r>
            <w:r w:rsidRPr="0019061E">
              <w:rPr>
                <w:sz w:val="20"/>
                <w:szCs w:val="20"/>
              </w:rPr>
              <w:t>Friendshore</w:t>
            </w:r>
            <w:r w:rsidRPr="0019061E">
              <w:rPr>
                <w:rFonts w:ascii="Arial" w:hAnsi="Arial" w:cs="Arial"/>
                <w:sz w:val="20"/>
                <w:szCs w:val="20"/>
              </w:rPr>
              <w:t> </w:t>
            </w:r>
            <w:r w:rsidRPr="0019061E">
              <w:rPr>
                <w:sz w:val="20"/>
                <w:szCs w:val="20"/>
              </w:rPr>
              <w:t>+</w:t>
            </w:r>
            <w:r w:rsidRPr="0019061E">
              <w:rPr>
                <w:rFonts w:ascii="Arial" w:hAnsi="Arial" w:cs="Arial"/>
                <w:sz w:val="20"/>
                <w:szCs w:val="20"/>
              </w:rPr>
              <w:t> </w:t>
            </w:r>
            <w:r w:rsidRPr="0019061E">
              <w:rPr>
                <w:sz w:val="20"/>
                <w:szCs w:val="20"/>
              </w:rPr>
              <w:t>0.4</w:t>
            </w:r>
            <w:r w:rsidRPr="0019061E">
              <w:rPr>
                <w:rFonts w:ascii="Arial" w:hAnsi="Arial" w:cs="Arial"/>
                <w:sz w:val="20"/>
                <w:szCs w:val="20"/>
              </w:rPr>
              <w:t> </w:t>
            </w:r>
            <w:r w:rsidRPr="0019061E">
              <w:rPr>
                <w:rFonts w:ascii="Aptos" w:hAnsi="Aptos" w:cs="Aptos"/>
                <w:sz w:val="20"/>
                <w:szCs w:val="20"/>
              </w:rPr>
              <w:t>×</w:t>
            </w:r>
            <w:r w:rsidRPr="0019061E">
              <w:rPr>
                <w:rFonts w:ascii="Arial" w:hAnsi="Arial" w:cs="Arial"/>
                <w:sz w:val="20"/>
                <w:szCs w:val="20"/>
              </w:rPr>
              <w:t> </w:t>
            </w:r>
            <w:r w:rsidRPr="0019061E">
              <w:rPr>
                <w:sz w:val="20"/>
                <w:szCs w:val="20"/>
              </w:rPr>
              <w:t>Opportunity</w:t>
            </w:r>
            <w:r w:rsidRPr="0019061E">
              <w:rPr>
                <w:rFonts w:ascii="Arial" w:hAnsi="Arial" w:cs="Arial"/>
                <w:sz w:val="20"/>
                <w:szCs w:val="20"/>
              </w:rPr>
              <w:t> </w:t>
            </w:r>
            <w:r w:rsidRPr="0019061E">
              <w:rPr>
                <w:sz w:val="20"/>
                <w:szCs w:val="20"/>
              </w:rPr>
              <w:t>+</w:t>
            </w:r>
            <w:r w:rsidRPr="0019061E">
              <w:rPr>
                <w:rFonts w:ascii="Arial" w:hAnsi="Arial" w:cs="Arial"/>
                <w:sz w:val="20"/>
                <w:szCs w:val="20"/>
              </w:rPr>
              <w:t> </w:t>
            </w:r>
            <w:r w:rsidRPr="0019061E">
              <w:rPr>
                <w:sz w:val="20"/>
                <w:szCs w:val="20"/>
              </w:rPr>
              <w:t>0.2</w:t>
            </w:r>
            <w:r w:rsidRPr="0019061E">
              <w:rPr>
                <w:rFonts w:ascii="Arial" w:hAnsi="Arial" w:cs="Arial"/>
                <w:sz w:val="20"/>
                <w:szCs w:val="20"/>
              </w:rPr>
              <w:t> </w:t>
            </w:r>
            <w:r w:rsidRPr="0019061E">
              <w:rPr>
                <w:rFonts w:ascii="Aptos" w:hAnsi="Aptos" w:cs="Aptos"/>
                <w:sz w:val="20"/>
                <w:szCs w:val="20"/>
              </w:rPr>
              <w:t>×</w:t>
            </w:r>
            <w:r w:rsidRPr="0019061E">
              <w:rPr>
                <w:rFonts w:ascii="Arial" w:hAnsi="Arial" w:cs="Arial"/>
                <w:sz w:val="20"/>
                <w:szCs w:val="20"/>
              </w:rPr>
              <w:t> </w:t>
            </w:r>
            <w:r w:rsidRPr="0019061E">
              <w:rPr>
                <w:sz w:val="20"/>
                <w:szCs w:val="20"/>
              </w:rPr>
              <w:t>(1</w:t>
            </w:r>
            <w:r w:rsidRPr="0019061E">
              <w:rPr>
                <w:rFonts w:ascii="Arial" w:hAnsi="Arial" w:cs="Arial"/>
                <w:sz w:val="20"/>
                <w:szCs w:val="20"/>
              </w:rPr>
              <w:t> </w:t>
            </w:r>
            <w:r w:rsidRPr="0019061E">
              <w:rPr>
                <w:rFonts w:ascii="Aptos" w:hAnsi="Aptos" w:cs="Aptos"/>
                <w:sz w:val="20"/>
                <w:szCs w:val="20"/>
              </w:rPr>
              <w:t>–</w:t>
            </w:r>
            <w:r w:rsidRPr="0019061E">
              <w:rPr>
                <w:rFonts w:ascii="Arial" w:hAnsi="Arial" w:cs="Arial"/>
                <w:sz w:val="20"/>
                <w:szCs w:val="20"/>
              </w:rPr>
              <w:t> </w:t>
            </w:r>
            <w:r w:rsidRPr="0019061E">
              <w:rPr>
                <w:sz w:val="20"/>
                <w:szCs w:val="20"/>
              </w:rPr>
              <w:t>Dev</w:t>
            </w:r>
            <w:r w:rsidRPr="0019061E">
              <w:rPr>
                <w:rFonts w:ascii="Arial" w:hAnsi="Arial" w:cs="Arial"/>
                <w:sz w:val="20"/>
                <w:szCs w:val="20"/>
              </w:rPr>
              <w:t> </w:t>
            </w:r>
            <w:r w:rsidRPr="0019061E">
              <w:rPr>
                <w:sz w:val="20"/>
                <w:szCs w:val="20"/>
              </w:rPr>
              <w:t>Environment).</w:t>
            </w:r>
          </w:p>
        </w:tc>
      </w:tr>
    </w:tbl>
    <w:p w14:paraId="1177E9FF" w14:textId="77777777" w:rsidR="00D216E0" w:rsidRDefault="00D216E0" w:rsidP="00D216E0">
      <w:pPr>
        <w:rPr>
          <w:rFonts w:ascii="Arial" w:hAnsi="Arial" w:cs="Arial"/>
          <w:b/>
          <w:bCs/>
        </w:rPr>
      </w:pPr>
      <w:r w:rsidRPr="00E1169D">
        <w:rPr>
          <w:i/>
          <w:iCs/>
        </w:rPr>
        <w:t>Market concentration</w:t>
      </w:r>
      <w:r w:rsidRPr="00E1169D">
        <w:t xml:space="preserve"> is measured with the </w:t>
      </w:r>
      <w:r w:rsidRPr="00E1169D">
        <w:rPr>
          <w:b/>
          <w:bCs/>
        </w:rPr>
        <w:t>Herfindahl–Hirschman Index (HHI)</w:t>
      </w:r>
      <w:r w:rsidRPr="00E1169D">
        <w:t>; its complement (1</w:t>
      </w:r>
      <w:r w:rsidRPr="00E1169D">
        <w:rPr>
          <w:rFonts w:ascii="Arial" w:hAnsi="Arial" w:cs="Arial"/>
        </w:rPr>
        <w:t> </w:t>
      </w:r>
      <w:r w:rsidRPr="00E1169D">
        <w:rPr>
          <w:rFonts w:ascii="Aptos" w:hAnsi="Aptos" w:cs="Aptos"/>
        </w:rPr>
        <w:t>–</w:t>
      </w:r>
      <w:r w:rsidRPr="00E1169D">
        <w:rPr>
          <w:rFonts w:ascii="Arial" w:hAnsi="Arial" w:cs="Arial"/>
        </w:rPr>
        <w:t> </w:t>
      </w:r>
      <w:r w:rsidRPr="00E1169D">
        <w:t>HHI) is S</w:t>
      </w:r>
      <w:r w:rsidRPr="00E1169D">
        <w:noBreakHyphen/>
        <w:t>curved so that low concentration (i.e., diversified supply) scores high.</w:t>
      </w:r>
      <w:r w:rsidR="00AC323E">
        <w:rPr>
          <w:noProof/>
        </w:rPr>
        <w:pict w14:anchorId="73CD7A0B">
          <v:rect id="_x0000_i1029" alt="" style="width:468pt;height:.05pt;mso-width-percent:0;mso-height-percent:0;mso-width-percent:0;mso-height-percent:0" o:hralign="center" o:hrstd="t" o:hr="t" fillcolor="#a0a0a0" stroked="f"/>
        </w:pict>
      </w:r>
    </w:p>
    <w:p w14:paraId="4058921C" w14:textId="77777777" w:rsidR="00D216E0" w:rsidRPr="002D79C0" w:rsidRDefault="00D216E0" w:rsidP="00D216E0">
      <w:pPr>
        <w:rPr>
          <w:b/>
          <w:bCs/>
        </w:rPr>
      </w:pPr>
      <w:r w:rsidRPr="002D79C0">
        <w:rPr>
          <w:rFonts w:ascii="Arial" w:hAnsi="Arial" w:cs="Arial"/>
          <w:b/>
          <w:bCs/>
        </w:rPr>
        <w:t> </w:t>
      </w:r>
      <w:r w:rsidRPr="002D79C0">
        <w:rPr>
          <w:b/>
          <w:bCs/>
        </w:rPr>
        <w:t>Detailed specification of component (sub</w:t>
      </w:r>
      <w:r w:rsidRPr="002D79C0">
        <w:rPr>
          <w:b/>
          <w:bCs/>
        </w:rPr>
        <w:noBreakHyphen/>
        <w:t>)indices</w:t>
      </w:r>
    </w:p>
    <w:p w14:paraId="20EA1809" w14:textId="77777777" w:rsidR="00D216E0" w:rsidRDefault="00D216E0" w:rsidP="00D216E0">
      <w:pPr>
        <w:pStyle w:val="Heading3"/>
      </w:pPr>
      <w:r w:rsidRPr="002D79C0">
        <w:t>4.1</w:t>
      </w:r>
      <w:r w:rsidRPr="002D79C0">
        <w:t> </w:t>
      </w:r>
      <w:r w:rsidRPr="002D79C0">
        <w:t>Energy</w:t>
      </w:r>
      <w:r w:rsidRPr="002D79C0">
        <w:rPr>
          <w:rFonts w:ascii="Arial" w:hAnsi="Arial" w:cs="Arial"/>
        </w:rPr>
        <w:t> </w:t>
      </w:r>
      <w:r w:rsidRPr="002D79C0">
        <w:t>Security pillar</w:t>
      </w:r>
    </w:p>
    <w:p w14:paraId="4FA8DF45" w14:textId="77777777" w:rsidR="00D216E0" w:rsidRDefault="00D216E0" w:rsidP="00D216E0">
      <w:r w:rsidRPr="00141C0C">
        <w:t xml:space="preserve">Gauges the </w:t>
      </w:r>
      <w:r w:rsidRPr="00141C0C">
        <w:rPr>
          <w:b/>
          <w:bCs/>
        </w:rPr>
        <w:t>security and resilience</w:t>
      </w:r>
      <w:r w:rsidRPr="00141C0C">
        <w:t xml:space="preserve"> of a technology’s supply chain for the U.S. It incorporates </w:t>
      </w:r>
      <w:r>
        <w:t>the factors</w:t>
      </w:r>
      <w:r w:rsidRPr="00141C0C">
        <w:t xml:space="preserve"> like domestic resource reserves, import dependence, and supply concentration. For example, it averages metrics on critical mineral availability (e.g. U.S. share of global lithium, cobalt, graphite, rare earth reserves), fossil fuel import reliance, and market concentration (HHI) of key inputs. </w:t>
      </w:r>
      <w:r>
        <w:t xml:space="preserve">These inputs can be compared across countries or sectors. </w:t>
      </w:r>
    </w:p>
    <w:p w14:paraId="1C8A3748" w14:textId="77777777" w:rsidR="00D216E0" w:rsidRDefault="00D216E0" w:rsidP="00D216E0">
      <w:r>
        <w:t>Overall, a</w:t>
      </w:r>
      <w:r w:rsidRPr="00141C0C">
        <w:t xml:space="preserve"> high Energy Security index means the U.S. has secure or diversified supply (low risk), whereas a low score signals heavy reliance on foreign sources or a chokepoint. </w:t>
      </w:r>
      <w:r w:rsidRPr="00E34B40">
        <w:t>For example,</w:t>
      </w:r>
      <w:r w:rsidRPr="00141C0C">
        <w:t xml:space="preserve"> The U.S. scores high on </w:t>
      </w:r>
      <w:r>
        <w:rPr>
          <w:b/>
          <w:bCs/>
        </w:rPr>
        <w:t>solar downstream</w:t>
      </w:r>
      <w:r w:rsidRPr="00141C0C">
        <w:t xml:space="preserve"> and </w:t>
      </w:r>
      <w:r w:rsidRPr="00141C0C">
        <w:rPr>
          <w:b/>
          <w:bCs/>
        </w:rPr>
        <w:t>gas</w:t>
      </w:r>
      <w:r>
        <w:rPr>
          <w:b/>
          <w:bCs/>
        </w:rPr>
        <w:t xml:space="preserve"> upstream</w:t>
      </w:r>
      <w:r w:rsidRPr="00141C0C">
        <w:t xml:space="preserve"> security due to high domestic </w:t>
      </w:r>
      <w:r>
        <w:t xml:space="preserve">consumption and </w:t>
      </w:r>
      <w:r w:rsidRPr="00141C0C">
        <w:t>reserves,</w:t>
      </w:r>
      <w:r>
        <w:t xml:space="preserve"> as well as</w:t>
      </w:r>
      <w:r w:rsidRPr="00141C0C">
        <w:t xml:space="preserve"> low import reliance</w:t>
      </w:r>
      <w:r>
        <w:t>. However, it scores</w:t>
      </w:r>
      <w:r w:rsidRPr="00141C0C">
        <w:t xml:space="preserve"> low on </w:t>
      </w:r>
      <w:r w:rsidRPr="00141C0C">
        <w:rPr>
          <w:b/>
          <w:bCs/>
        </w:rPr>
        <w:t xml:space="preserve">solar </w:t>
      </w:r>
      <w:r w:rsidRPr="00A838C6">
        <w:t>or</w:t>
      </w:r>
      <w:r>
        <w:rPr>
          <w:b/>
          <w:bCs/>
        </w:rPr>
        <w:t xml:space="preserve"> nuclear midstream</w:t>
      </w:r>
      <w:r w:rsidRPr="00141C0C">
        <w:t xml:space="preserve"> supply security, since solar components and materials are largely imported and concentrated in </w:t>
      </w:r>
      <w:r>
        <w:t>China and US nuclear manufacturers have low market share and high import reliance</w:t>
      </w:r>
      <w:r w:rsidRPr="00141C0C">
        <w:t>.</w:t>
      </w:r>
      <w:r>
        <w:t xml:space="preserve"> </w:t>
      </w:r>
      <w:r>
        <w:rPr>
          <w:rStyle w:val="EndnoteReference"/>
        </w:rPr>
        <w:endnoteReference w:id="1"/>
      </w:r>
      <w:r>
        <w:rPr>
          <w:rStyle w:val="EndnoteReference"/>
        </w:rPr>
        <w:endnoteReference w:id="2"/>
      </w:r>
    </w:p>
    <w:p w14:paraId="7D777721" w14:textId="77777777" w:rsidR="00D216E0" w:rsidRPr="00140E28" w:rsidRDefault="00D216E0" w:rsidP="00D216E0">
      <w:pPr>
        <w:pStyle w:val="Heading4"/>
      </w:pPr>
      <w:r w:rsidRPr="00140E28">
        <w:t>Methodology</w:t>
      </w:r>
    </w:p>
    <w:tbl>
      <w:tblPr>
        <w:tblStyle w:val="GridTable1Light-Accent2"/>
        <w:tblW w:w="10291" w:type="dxa"/>
        <w:tblLayout w:type="fixed"/>
        <w:tblLook w:val="04A0" w:firstRow="1" w:lastRow="0" w:firstColumn="1" w:lastColumn="0" w:noHBand="0" w:noVBand="1"/>
      </w:tblPr>
      <w:tblGrid>
        <w:gridCol w:w="964"/>
        <w:gridCol w:w="1551"/>
        <w:gridCol w:w="2520"/>
        <w:gridCol w:w="3442"/>
        <w:gridCol w:w="1814"/>
      </w:tblGrid>
      <w:tr w:rsidR="00D216E0" w:rsidRPr="002D79C0" w14:paraId="359A6BEB"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dxa"/>
            <w:hideMark/>
          </w:tcPr>
          <w:p w14:paraId="6B22331C" w14:textId="77777777" w:rsidR="00D216E0" w:rsidRPr="002D79C0" w:rsidRDefault="00D216E0" w:rsidP="00C50100">
            <w:pPr>
              <w:rPr>
                <w:b w:val="0"/>
                <w:bCs w:val="0"/>
              </w:rPr>
            </w:pPr>
            <w:r w:rsidRPr="002D79C0">
              <w:t>Weight in pillar†</w:t>
            </w:r>
          </w:p>
        </w:tc>
        <w:tc>
          <w:tcPr>
            <w:tcW w:w="1551" w:type="dxa"/>
            <w:hideMark/>
          </w:tcPr>
          <w:p w14:paraId="1A0F9869" w14:textId="77777777" w:rsidR="00D216E0" w:rsidRPr="0065454F" w:rsidRDefault="00D216E0" w:rsidP="00C5010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5454F">
              <w:rPr>
                <w:sz w:val="20"/>
                <w:szCs w:val="20"/>
              </w:rPr>
              <w:t>Sub</w:t>
            </w:r>
            <w:r w:rsidRPr="0065454F">
              <w:rPr>
                <w:sz w:val="20"/>
                <w:szCs w:val="20"/>
              </w:rPr>
              <w:noBreakHyphen/>
              <w:t>index (category)</w:t>
            </w:r>
          </w:p>
        </w:tc>
        <w:tc>
          <w:tcPr>
            <w:tcW w:w="2520" w:type="dxa"/>
            <w:hideMark/>
          </w:tcPr>
          <w:p w14:paraId="6356A286"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What is measured</w:t>
            </w:r>
          </w:p>
        </w:tc>
        <w:tc>
          <w:tcPr>
            <w:tcW w:w="3442" w:type="dxa"/>
            <w:hideMark/>
          </w:tcPr>
          <w:p w14:paraId="0DA5D93B"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Normali</w:t>
            </w:r>
            <w:r>
              <w:t>z</w:t>
            </w:r>
            <w:r w:rsidRPr="002D79C0">
              <w:t>ation &amp; aggregation</w:t>
            </w:r>
          </w:p>
        </w:tc>
        <w:tc>
          <w:tcPr>
            <w:tcW w:w="1814" w:type="dxa"/>
            <w:hideMark/>
          </w:tcPr>
          <w:p w14:paraId="2E8B6B26"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Key data source(s)</w:t>
            </w:r>
          </w:p>
        </w:tc>
      </w:tr>
      <w:tr w:rsidR="00D216E0" w:rsidRPr="002D79C0" w14:paraId="3A6F083C" w14:textId="77777777" w:rsidTr="00C50100">
        <w:tc>
          <w:tcPr>
            <w:cnfStyle w:val="001000000000" w:firstRow="0" w:lastRow="0" w:firstColumn="1" w:lastColumn="0" w:oddVBand="0" w:evenVBand="0" w:oddHBand="0" w:evenHBand="0" w:firstRowFirstColumn="0" w:firstRowLastColumn="0" w:lastRowFirstColumn="0" w:lastRowLastColumn="0"/>
            <w:tcW w:w="964" w:type="dxa"/>
            <w:hideMark/>
          </w:tcPr>
          <w:p w14:paraId="002AEB6B" w14:textId="77777777" w:rsidR="00D216E0" w:rsidRPr="002D79C0" w:rsidRDefault="00D216E0" w:rsidP="00C50100">
            <w:r w:rsidRPr="002D79C0">
              <w:t>5</w:t>
            </w:r>
          </w:p>
        </w:tc>
        <w:tc>
          <w:tcPr>
            <w:tcW w:w="1551" w:type="dxa"/>
            <w:hideMark/>
          </w:tcPr>
          <w:p w14:paraId="09962192" w14:textId="77777777" w:rsidR="00D216E0" w:rsidRPr="0065454F" w:rsidRDefault="00D216E0" w:rsidP="00C50100">
            <w:pPr>
              <w:ind w:right="-528"/>
              <w:cnfStyle w:val="000000000000" w:firstRow="0" w:lastRow="0" w:firstColumn="0" w:lastColumn="0" w:oddVBand="0" w:evenVBand="0" w:oddHBand="0" w:evenHBand="0" w:firstRowFirstColumn="0" w:firstRowLastColumn="0" w:lastRowFirstColumn="0" w:lastRowLastColumn="0"/>
              <w:rPr>
                <w:sz w:val="20"/>
                <w:szCs w:val="20"/>
              </w:rPr>
            </w:pPr>
            <w:r w:rsidRPr="0065454F">
              <w:rPr>
                <w:b/>
                <w:bCs/>
                <w:sz w:val="20"/>
                <w:szCs w:val="20"/>
              </w:rPr>
              <w:t>Foreign</w:t>
            </w:r>
            <w:r w:rsidRPr="0065454F">
              <w:rPr>
                <w:b/>
                <w:bCs/>
                <w:sz w:val="20"/>
                <w:szCs w:val="20"/>
              </w:rPr>
              <w:noBreakHyphen/>
            </w:r>
            <w:r w:rsidRPr="0065454F">
              <w:rPr>
                <w:b/>
                <w:bCs/>
                <w:sz w:val="20"/>
                <w:szCs w:val="20"/>
              </w:rPr>
              <w:br/>
              <w:t>dependency composite</w:t>
            </w:r>
          </w:p>
        </w:tc>
        <w:tc>
          <w:tcPr>
            <w:tcW w:w="2520" w:type="dxa"/>
            <w:hideMark/>
          </w:tcPr>
          <w:p w14:paraId="5F928C45"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Exposure to non</w:t>
            </w:r>
            <w:r w:rsidRPr="00A8254C">
              <w:rPr>
                <w:sz w:val="20"/>
                <w:szCs w:val="20"/>
              </w:rPr>
              <w:noBreakHyphen/>
              <w:t>allied suppliers across the value chain. Built from:</w:t>
            </w:r>
          </w:p>
          <w:p w14:paraId="141C1E0F" w14:textId="77777777" w:rsidR="00D216E0" w:rsidRDefault="00D216E0" w:rsidP="00D216E0">
            <w:pPr>
              <w:pStyle w:val="ListParagraph"/>
              <w:numPr>
                <w:ilvl w:val="0"/>
                <w:numId w:val="5"/>
              </w:numPr>
              <w:ind w:left="122" w:hanging="140"/>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Clean</w:t>
            </w:r>
            <w:r w:rsidRPr="00A8254C">
              <w:rPr>
                <w:sz w:val="20"/>
                <w:szCs w:val="20"/>
              </w:rPr>
              <w:noBreakHyphen/>
              <w:t>tech manufacturing market</w:t>
            </w:r>
            <w:r w:rsidRPr="00A8254C">
              <w:rPr>
                <w:sz w:val="20"/>
                <w:szCs w:val="20"/>
              </w:rPr>
              <w:noBreakHyphen/>
              <w:t>share index (solar, wind, battery, electrolyser, heat</w:t>
            </w:r>
            <w:r w:rsidRPr="00A8254C">
              <w:rPr>
                <w:sz w:val="20"/>
                <w:szCs w:val="20"/>
              </w:rPr>
              <w:noBreakHyphen/>
              <w:t>pump).</w:t>
            </w:r>
          </w:p>
          <w:p w14:paraId="15B9D854" w14:textId="77777777" w:rsidR="00D216E0" w:rsidRDefault="00D216E0" w:rsidP="00D216E0">
            <w:pPr>
              <w:pStyle w:val="ListParagraph"/>
              <w:numPr>
                <w:ilvl w:val="0"/>
                <w:numId w:val="5"/>
              </w:numPr>
              <w:ind w:left="122" w:hanging="140"/>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Critical</w:t>
            </w:r>
            <w:r w:rsidRPr="00A8254C">
              <w:rPr>
                <w:sz w:val="20"/>
                <w:szCs w:val="20"/>
              </w:rPr>
              <w:noBreakHyphen/>
              <w:t>mineral supply security index (market</w:t>
            </w:r>
            <w:r w:rsidRPr="00A8254C">
              <w:rPr>
                <w:sz w:val="20"/>
                <w:szCs w:val="20"/>
              </w:rPr>
              <w:noBreakHyphen/>
              <w:t xml:space="preserve">share &amp; HHI </w:t>
            </w:r>
            <w:r w:rsidRPr="00A8254C">
              <w:rPr>
                <w:sz w:val="20"/>
                <w:szCs w:val="20"/>
              </w:rPr>
              <w:lastRenderedPageBreak/>
              <w:t>across 4 priority minerals).</w:t>
            </w:r>
          </w:p>
          <w:p w14:paraId="15ACCECF" w14:textId="77777777" w:rsidR="00D216E0" w:rsidRPr="00A8254C" w:rsidRDefault="00D216E0" w:rsidP="00D216E0">
            <w:pPr>
              <w:pStyle w:val="ListParagraph"/>
              <w:numPr>
                <w:ilvl w:val="0"/>
                <w:numId w:val="5"/>
              </w:numPr>
              <w:ind w:left="122" w:hanging="140"/>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Electric</w:t>
            </w:r>
            <w:r>
              <w:rPr>
                <w:sz w:val="20"/>
                <w:szCs w:val="20"/>
              </w:rPr>
              <w:t xml:space="preserve"> </w:t>
            </w:r>
            <w:r w:rsidRPr="00A8254C">
              <w:rPr>
                <w:sz w:val="20"/>
                <w:szCs w:val="20"/>
              </w:rPr>
              <w:t>vehicle midstream manufacturing index.</w:t>
            </w:r>
          </w:p>
        </w:tc>
        <w:tc>
          <w:tcPr>
            <w:tcW w:w="3442" w:type="dxa"/>
            <w:hideMark/>
          </w:tcPr>
          <w:p w14:paraId="218688D5"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lastRenderedPageBreak/>
              <w:t>Each raw share/HHI is converted to a 0</w:t>
            </w:r>
            <w:r w:rsidRPr="00A8254C">
              <w:rPr>
                <w:sz w:val="20"/>
                <w:szCs w:val="20"/>
              </w:rPr>
              <w:noBreakHyphen/>
              <w:t>1 score with median_scurve(γ</w:t>
            </w:r>
            <w:r w:rsidRPr="00A8254C">
              <w:rPr>
                <w:rFonts w:ascii="Arial" w:hAnsi="Arial" w:cs="Arial"/>
                <w:sz w:val="20"/>
                <w:szCs w:val="20"/>
              </w:rPr>
              <w:t> </w:t>
            </w:r>
            <w:r w:rsidRPr="00A8254C">
              <w:rPr>
                <w:sz w:val="20"/>
                <w:szCs w:val="20"/>
              </w:rPr>
              <w:t>=</w:t>
            </w:r>
            <w:r w:rsidRPr="00A8254C">
              <w:rPr>
                <w:rFonts w:ascii="Arial" w:hAnsi="Arial" w:cs="Arial"/>
                <w:sz w:val="20"/>
                <w:szCs w:val="20"/>
              </w:rPr>
              <w:t> </w:t>
            </w:r>
            <w:r w:rsidRPr="00A8254C">
              <w:rPr>
                <w:sz w:val="20"/>
                <w:szCs w:val="20"/>
              </w:rPr>
              <w:t>0.5); technology</w:t>
            </w:r>
            <w:r w:rsidRPr="00A8254C">
              <w:rPr>
                <w:sz w:val="20"/>
                <w:szCs w:val="20"/>
              </w:rPr>
              <w:noBreakHyphen/>
              <w:t>level indices are simple means; the category score is an un</w:t>
            </w:r>
            <w:r w:rsidRPr="00A8254C">
              <w:rPr>
                <w:sz w:val="20"/>
                <w:szCs w:val="20"/>
              </w:rPr>
              <w:noBreakHyphen/>
              <w:t>weighted mean across technologies, then percent</w:t>
            </w:r>
            <w:r w:rsidRPr="00A8254C">
              <w:rPr>
                <w:sz w:val="20"/>
                <w:szCs w:val="20"/>
              </w:rPr>
              <w:noBreakHyphen/>
              <w:t>ranked across countries.</w:t>
            </w:r>
          </w:p>
        </w:tc>
        <w:tc>
          <w:tcPr>
            <w:tcW w:w="1814" w:type="dxa"/>
            <w:hideMark/>
          </w:tcPr>
          <w:p w14:paraId="413C1E9B"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 xml:space="preserve">IEA </w:t>
            </w:r>
            <w:r w:rsidRPr="00A8254C">
              <w:rPr>
                <w:i/>
                <w:iCs/>
                <w:sz w:val="20"/>
                <w:szCs w:val="20"/>
              </w:rPr>
              <w:t>Energy Technology Perspectives</w:t>
            </w:r>
            <w:r w:rsidRPr="00A8254C">
              <w:rPr>
                <w:rFonts w:ascii="Arial" w:hAnsi="Arial" w:cs="Arial"/>
                <w:i/>
                <w:iCs/>
                <w:sz w:val="20"/>
                <w:szCs w:val="20"/>
              </w:rPr>
              <w:t> </w:t>
            </w:r>
            <w:r w:rsidRPr="00A8254C">
              <w:rPr>
                <w:i/>
                <w:iCs/>
                <w:sz w:val="20"/>
                <w:szCs w:val="20"/>
              </w:rPr>
              <w:t>2024</w:t>
            </w:r>
            <w:r w:rsidRPr="00A8254C">
              <w:rPr>
                <w:sz w:val="20"/>
                <w:szCs w:val="20"/>
              </w:rPr>
              <w:t>; IEA Critical Minerals database</w:t>
            </w:r>
            <w:r w:rsidRPr="00A8254C">
              <w:rPr>
                <w:rFonts w:ascii="Arial" w:hAnsi="Arial" w:cs="Arial"/>
                <w:sz w:val="20"/>
                <w:szCs w:val="20"/>
              </w:rPr>
              <w:t> </w:t>
            </w:r>
            <w:r w:rsidRPr="00A8254C">
              <w:rPr>
                <w:sz w:val="20"/>
                <w:szCs w:val="20"/>
              </w:rPr>
              <w:t xml:space="preserve">2025; IEA </w:t>
            </w:r>
            <w:r w:rsidRPr="00A8254C">
              <w:rPr>
                <w:i/>
                <w:iCs/>
                <w:sz w:val="20"/>
                <w:szCs w:val="20"/>
              </w:rPr>
              <w:t>Global EV Outlook</w:t>
            </w:r>
            <w:r w:rsidRPr="00A8254C">
              <w:rPr>
                <w:rFonts w:ascii="Arial" w:hAnsi="Arial" w:cs="Arial"/>
                <w:i/>
                <w:iCs/>
                <w:sz w:val="20"/>
                <w:szCs w:val="20"/>
              </w:rPr>
              <w:t> </w:t>
            </w:r>
            <w:r w:rsidRPr="00A8254C">
              <w:rPr>
                <w:i/>
                <w:iCs/>
                <w:sz w:val="20"/>
                <w:szCs w:val="20"/>
              </w:rPr>
              <w:t>2024</w:t>
            </w:r>
            <w:r w:rsidRPr="00A8254C">
              <w:rPr>
                <w:sz w:val="20"/>
                <w:szCs w:val="20"/>
              </w:rPr>
              <w:t>.</w:t>
            </w:r>
          </w:p>
        </w:tc>
      </w:tr>
      <w:tr w:rsidR="00D216E0" w:rsidRPr="002D79C0" w14:paraId="3055EB4B" w14:textId="77777777" w:rsidTr="00C50100">
        <w:tc>
          <w:tcPr>
            <w:cnfStyle w:val="001000000000" w:firstRow="0" w:lastRow="0" w:firstColumn="1" w:lastColumn="0" w:oddVBand="0" w:evenVBand="0" w:oddHBand="0" w:evenHBand="0" w:firstRowFirstColumn="0" w:firstRowLastColumn="0" w:lastRowFirstColumn="0" w:lastRowLastColumn="0"/>
            <w:tcW w:w="964" w:type="dxa"/>
            <w:hideMark/>
          </w:tcPr>
          <w:p w14:paraId="509BBD2A" w14:textId="77777777" w:rsidR="00D216E0" w:rsidRPr="002D79C0" w:rsidRDefault="00D216E0" w:rsidP="00C50100">
            <w:r w:rsidRPr="002D79C0">
              <w:t>4</w:t>
            </w:r>
          </w:p>
        </w:tc>
        <w:tc>
          <w:tcPr>
            <w:tcW w:w="1551" w:type="dxa"/>
            <w:hideMark/>
          </w:tcPr>
          <w:p w14:paraId="01B4C629" w14:textId="77777777" w:rsidR="00D216E0" w:rsidRPr="0065454F"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5454F">
              <w:rPr>
                <w:b/>
                <w:bCs/>
                <w:sz w:val="20"/>
                <w:szCs w:val="20"/>
              </w:rPr>
              <w:t>Energy</w:t>
            </w:r>
            <w:r w:rsidRPr="0065454F">
              <w:rPr>
                <w:b/>
                <w:bCs/>
                <w:sz w:val="20"/>
                <w:szCs w:val="20"/>
              </w:rPr>
              <w:noBreakHyphen/>
            </w:r>
            <w:r w:rsidRPr="0065454F">
              <w:rPr>
                <w:b/>
                <w:bCs/>
                <w:sz w:val="20"/>
                <w:szCs w:val="20"/>
              </w:rPr>
              <w:br/>
              <w:t>import dependence</w:t>
            </w:r>
          </w:p>
        </w:tc>
        <w:tc>
          <w:tcPr>
            <w:tcW w:w="2520" w:type="dxa"/>
            <w:hideMark/>
          </w:tcPr>
          <w:p w14:paraId="0F22B477"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Net import share for oil, gas, coal.</w:t>
            </w:r>
          </w:p>
        </w:tc>
        <w:tc>
          <w:tcPr>
            <w:tcW w:w="3442" w:type="dxa"/>
            <w:hideMark/>
          </w:tcPr>
          <w:p w14:paraId="4171FB18"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Import share (%) → scurve; country score is mean of three fuels.</w:t>
            </w:r>
          </w:p>
        </w:tc>
        <w:tc>
          <w:tcPr>
            <w:tcW w:w="1814" w:type="dxa"/>
            <w:hideMark/>
          </w:tcPr>
          <w:p w14:paraId="4CBAAB99"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i/>
                <w:iCs/>
                <w:sz w:val="20"/>
                <w:szCs w:val="20"/>
              </w:rPr>
              <w:t>EI Statistical Review of World Energy</w:t>
            </w:r>
            <w:r w:rsidRPr="00A8254C">
              <w:rPr>
                <w:rFonts w:ascii="Arial" w:hAnsi="Arial" w:cs="Arial"/>
                <w:i/>
                <w:iCs/>
                <w:sz w:val="20"/>
                <w:szCs w:val="20"/>
              </w:rPr>
              <w:t> </w:t>
            </w:r>
            <w:r w:rsidRPr="00A8254C">
              <w:rPr>
                <w:i/>
                <w:iCs/>
                <w:sz w:val="20"/>
                <w:szCs w:val="20"/>
              </w:rPr>
              <w:t>2024</w:t>
            </w:r>
            <w:r w:rsidRPr="00A8254C">
              <w:rPr>
                <w:sz w:val="20"/>
                <w:szCs w:val="20"/>
              </w:rPr>
              <w:t xml:space="preserve"> (formerly BP)</w:t>
            </w:r>
          </w:p>
        </w:tc>
      </w:tr>
      <w:tr w:rsidR="00D216E0" w:rsidRPr="002D79C0" w14:paraId="3C67B350" w14:textId="77777777" w:rsidTr="00C50100">
        <w:tc>
          <w:tcPr>
            <w:cnfStyle w:val="001000000000" w:firstRow="0" w:lastRow="0" w:firstColumn="1" w:lastColumn="0" w:oddVBand="0" w:evenVBand="0" w:oddHBand="0" w:evenHBand="0" w:firstRowFirstColumn="0" w:firstRowLastColumn="0" w:lastRowFirstColumn="0" w:lastRowLastColumn="0"/>
            <w:tcW w:w="964" w:type="dxa"/>
            <w:hideMark/>
          </w:tcPr>
          <w:p w14:paraId="6B30667F" w14:textId="77777777" w:rsidR="00D216E0" w:rsidRPr="002D79C0" w:rsidRDefault="00D216E0" w:rsidP="00C50100">
            <w:r w:rsidRPr="002D79C0">
              <w:t>5</w:t>
            </w:r>
          </w:p>
        </w:tc>
        <w:tc>
          <w:tcPr>
            <w:tcW w:w="1551" w:type="dxa"/>
            <w:hideMark/>
          </w:tcPr>
          <w:p w14:paraId="3AD91691" w14:textId="77777777" w:rsidR="00D216E0" w:rsidRPr="0065454F"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5454F">
              <w:rPr>
                <w:b/>
                <w:bCs/>
                <w:sz w:val="20"/>
                <w:szCs w:val="20"/>
              </w:rPr>
              <w:t>Reserves</w:t>
            </w:r>
          </w:p>
        </w:tc>
        <w:tc>
          <w:tcPr>
            <w:tcW w:w="2520" w:type="dxa"/>
            <w:hideMark/>
          </w:tcPr>
          <w:p w14:paraId="3543790A"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In</w:t>
            </w:r>
            <w:r w:rsidRPr="00A8254C">
              <w:rPr>
                <w:sz w:val="20"/>
                <w:szCs w:val="20"/>
              </w:rPr>
              <w:noBreakHyphen/>
              <w:t>ground reserves of (i) four critical minerals and (ii) oil, gas, coal. Critical</w:t>
            </w:r>
            <w:r w:rsidRPr="00A8254C">
              <w:rPr>
                <w:sz w:val="20"/>
                <w:szCs w:val="20"/>
              </w:rPr>
              <w:noBreakHyphen/>
              <w:t>mineral subscores are weighted by 2024 demand share of each mineral in clean</w:t>
            </w:r>
            <w:r w:rsidRPr="00A8254C">
              <w:rPr>
                <w:sz w:val="20"/>
                <w:szCs w:val="20"/>
              </w:rPr>
              <w:noBreakHyphen/>
              <w:t>tech deployment.</w:t>
            </w:r>
          </w:p>
        </w:tc>
        <w:tc>
          <w:tcPr>
            <w:tcW w:w="3442" w:type="dxa"/>
            <w:hideMark/>
          </w:tcPr>
          <w:p w14:paraId="78874F98"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Reserves in physical units → scurve; mineral subscores demand</w:t>
            </w:r>
            <w:r w:rsidRPr="00A8254C">
              <w:rPr>
                <w:sz w:val="20"/>
                <w:szCs w:val="20"/>
              </w:rPr>
              <w:noBreakHyphen/>
              <w:t>weighted; fossil fuels treated analogue.</w:t>
            </w:r>
          </w:p>
        </w:tc>
        <w:tc>
          <w:tcPr>
            <w:tcW w:w="1814" w:type="dxa"/>
            <w:hideMark/>
          </w:tcPr>
          <w:p w14:paraId="7A0567B0"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i/>
                <w:iCs/>
                <w:sz w:val="20"/>
                <w:szCs w:val="20"/>
              </w:rPr>
              <w:t>EI Statistical Review of World Energy</w:t>
            </w:r>
            <w:r w:rsidRPr="00A8254C">
              <w:rPr>
                <w:rFonts w:ascii="Arial" w:hAnsi="Arial" w:cs="Arial"/>
                <w:i/>
                <w:iCs/>
                <w:sz w:val="20"/>
                <w:szCs w:val="20"/>
              </w:rPr>
              <w:t> </w:t>
            </w:r>
            <w:r w:rsidRPr="00A8254C">
              <w:rPr>
                <w:i/>
                <w:iCs/>
                <w:sz w:val="20"/>
                <w:szCs w:val="20"/>
              </w:rPr>
              <w:t>2024</w:t>
            </w:r>
            <w:r w:rsidRPr="00A8254C">
              <w:rPr>
                <w:sz w:val="20"/>
                <w:szCs w:val="20"/>
              </w:rPr>
              <w:t xml:space="preserve"> (tabular PDF &amp; wide XLSX)</w:t>
            </w:r>
          </w:p>
        </w:tc>
      </w:tr>
      <w:tr w:rsidR="00D216E0" w:rsidRPr="002D79C0" w14:paraId="0556B08E" w14:textId="77777777" w:rsidTr="00C50100">
        <w:tc>
          <w:tcPr>
            <w:cnfStyle w:val="001000000000" w:firstRow="0" w:lastRow="0" w:firstColumn="1" w:lastColumn="0" w:oddVBand="0" w:evenVBand="0" w:oddHBand="0" w:evenHBand="0" w:firstRowFirstColumn="0" w:firstRowLastColumn="0" w:lastRowFirstColumn="0" w:lastRowLastColumn="0"/>
            <w:tcW w:w="964" w:type="dxa"/>
            <w:hideMark/>
          </w:tcPr>
          <w:p w14:paraId="7156DEF3" w14:textId="77777777" w:rsidR="00D216E0" w:rsidRPr="002D79C0" w:rsidRDefault="00D216E0" w:rsidP="00C50100">
            <w:r w:rsidRPr="002D79C0">
              <w:t>3</w:t>
            </w:r>
          </w:p>
        </w:tc>
        <w:tc>
          <w:tcPr>
            <w:tcW w:w="1551" w:type="dxa"/>
            <w:hideMark/>
          </w:tcPr>
          <w:p w14:paraId="2CB3F6C8" w14:textId="77777777" w:rsidR="00D216E0" w:rsidRPr="0065454F"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5454F">
              <w:rPr>
                <w:b/>
                <w:bCs/>
                <w:sz w:val="20"/>
                <w:szCs w:val="20"/>
              </w:rPr>
              <w:t>Critical</w:t>
            </w:r>
            <w:r w:rsidRPr="0065454F">
              <w:rPr>
                <w:b/>
                <w:bCs/>
                <w:sz w:val="20"/>
                <w:szCs w:val="20"/>
              </w:rPr>
              <w:noBreakHyphen/>
            </w:r>
            <w:r w:rsidRPr="0065454F">
              <w:rPr>
                <w:b/>
                <w:bCs/>
                <w:sz w:val="20"/>
                <w:szCs w:val="20"/>
              </w:rPr>
              <w:br/>
              <w:t>mineral trade balance</w:t>
            </w:r>
          </w:p>
        </w:tc>
        <w:tc>
          <w:tcPr>
            <w:tcW w:w="2520" w:type="dxa"/>
            <w:hideMark/>
          </w:tcPr>
          <w:p w14:paraId="0F0F1CB8"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 xml:space="preserve">Export market share, export HHI &amp; </w:t>
            </w:r>
            <w:r w:rsidRPr="00A8254C">
              <w:rPr>
                <w:sz w:val="20"/>
                <w:szCs w:val="20"/>
              </w:rPr>
              <w:noBreakHyphen/>
              <w:t>import concentration for Li, Co, Ni, graphite &amp; REEs.</w:t>
            </w:r>
          </w:p>
        </w:tc>
        <w:tc>
          <w:tcPr>
            <w:tcW w:w="3442" w:type="dxa"/>
            <w:hideMark/>
          </w:tcPr>
          <w:p w14:paraId="51CD6BF3"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Export &amp; import shares → scurve; security sub</w:t>
            </w:r>
            <w:r w:rsidRPr="00A8254C">
              <w:rPr>
                <w:sz w:val="20"/>
                <w:szCs w:val="20"/>
              </w:rPr>
              <w:noBreakHyphen/>
              <w:t>index</w:t>
            </w:r>
            <w:r w:rsidRPr="00A8254C">
              <w:rPr>
                <w:rFonts w:ascii="Arial" w:hAnsi="Arial" w:cs="Arial"/>
                <w:sz w:val="20"/>
                <w:szCs w:val="20"/>
              </w:rPr>
              <w:t> </w:t>
            </w:r>
            <w:r w:rsidRPr="00A8254C">
              <w:rPr>
                <w:sz w:val="20"/>
                <w:szCs w:val="20"/>
              </w:rPr>
              <w:t>=</w:t>
            </w:r>
            <w:r w:rsidRPr="00A8254C">
              <w:rPr>
                <w:rFonts w:ascii="Arial" w:hAnsi="Arial" w:cs="Arial"/>
                <w:sz w:val="20"/>
                <w:szCs w:val="20"/>
              </w:rPr>
              <w:t> </w:t>
            </w:r>
            <w:r w:rsidRPr="00A8254C">
              <w:rPr>
                <w:sz w:val="20"/>
                <w:szCs w:val="20"/>
              </w:rPr>
              <w:t>mean(market</w:t>
            </w:r>
            <w:r w:rsidRPr="00A8254C">
              <w:rPr>
                <w:sz w:val="20"/>
                <w:szCs w:val="20"/>
              </w:rPr>
              <w:noBreakHyphen/>
              <w:t>share,</w:t>
            </w:r>
            <w:r w:rsidRPr="00A8254C">
              <w:rPr>
                <w:rFonts w:ascii="Arial" w:hAnsi="Arial" w:cs="Arial"/>
                <w:sz w:val="20"/>
                <w:szCs w:val="20"/>
              </w:rPr>
              <w:t> </w:t>
            </w:r>
            <w:r w:rsidRPr="00A8254C">
              <w:rPr>
                <w:sz w:val="20"/>
                <w:szCs w:val="20"/>
              </w:rPr>
              <w:t>HHI); demand</w:t>
            </w:r>
            <w:r w:rsidRPr="00A8254C">
              <w:rPr>
                <w:sz w:val="20"/>
                <w:szCs w:val="20"/>
              </w:rPr>
              <w:noBreakHyphen/>
              <w:t>weighted across minerals.</w:t>
            </w:r>
          </w:p>
        </w:tc>
        <w:tc>
          <w:tcPr>
            <w:tcW w:w="1814" w:type="dxa"/>
            <w:hideMark/>
          </w:tcPr>
          <w:p w14:paraId="50B33074"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UN</w:t>
            </w:r>
            <w:r w:rsidRPr="00A8254C">
              <w:rPr>
                <w:rFonts w:ascii="Arial" w:hAnsi="Arial" w:cs="Arial"/>
                <w:sz w:val="20"/>
                <w:szCs w:val="20"/>
              </w:rPr>
              <w:t> </w:t>
            </w:r>
            <w:r w:rsidRPr="00A8254C">
              <w:rPr>
                <w:sz w:val="20"/>
                <w:szCs w:val="20"/>
              </w:rPr>
              <w:t>Comtrade 2023 bulk extract; IEA Critical Minerals database</w:t>
            </w:r>
          </w:p>
        </w:tc>
      </w:tr>
      <w:tr w:rsidR="00D216E0" w:rsidRPr="002D79C0" w14:paraId="51D3E56C" w14:textId="77777777" w:rsidTr="00C50100">
        <w:tc>
          <w:tcPr>
            <w:cnfStyle w:val="001000000000" w:firstRow="0" w:lastRow="0" w:firstColumn="1" w:lastColumn="0" w:oddVBand="0" w:evenVBand="0" w:oddHBand="0" w:evenHBand="0" w:firstRowFirstColumn="0" w:firstRowLastColumn="0" w:lastRowFirstColumn="0" w:lastRowLastColumn="0"/>
            <w:tcW w:w="964" w:type="dxa"/>
            <w:hideMark/>
          </w:tcPr>
          <w:p w14:paraId="69BFE5F7" w14:textId="77777777" w:rsidR="00D216E0" w:rsidRPr="002D79C0" w:rsidRDefault="00D216E0" w:rsidP="00C50100">
            <w:r w:rsidRPr="002D79C0">
              <w:t>2</w:t>
            </w:r>
          </w:p>
        </w:tc>
        <w:tc>
          <w:tcPr>
            <w:tcW w:w="1551" w:type="dxa"/>
            <w:hideMark/>
          </w:tcPr>
          <w:p w14:paraId="01E61F48" w14:textId="77777777" w:rsidR="00D216E0" w:rsidRPr="0065454F"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5454F">
              <w:rPr>
                <w:b/>
                <w:bCs/>
                <w:sz w:val="20"/>
                <w:szCs w:val="20"/>
              </w:rPr>
              <w:t>Trade concentration (energy goods)</w:t>
            </w:r>
          </w:p>
        </w:tc>
        <w:tc>
          <w:tcPr>
            <w:tcW w:w="2520" w:type="dxa"/>
            <w:hideMark/>
          </w:tcPr>
          <w:p w14:paraId="744ACBDE"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Overall trade depth, RCA, feasibility &amp; global market</w:t>
            </w:r>
            <w:r w:rsidRPr="00A8254C">
              <w:rPr>
                <w:sz w:val="20"/>
                <w:szCs w:val="20"/>
              </w:rPr>
              <w:noBreakHyphen/>
              <w:t>share for 50</w:t>
            </w:r>
            <w:r w:rsidRPr="00A8254C">
              <w:rPr>
                <w:rFonts w:ascii="Arial" w:hAnsi="Arial" w:cs="Arial"/>
                <w:sz w:val="20"/>
                <w:szCs w:val="20"/>
              </w:rPr>
              <w:t> </w:t>
            </w:r>
            <w:r w:rsidRPr="00A8254C">
              <w:rPr>
                <w:sz w:val="20"/>
                <w:szCs w:val="20"/>
              </w:rPr>
              <w:t>+ energy</w:t>
            </w:r>
            <w:r w:rsidRPr="00A8254C">
              <w:rPr>
                <w:sz w:val="20"/>
                <w:szCs w:val="20"/>
              </w:rPr>
              <w:noBreakHyphen/>
              <w:t>sector HS codes at 4</w:t>
            </w:r>
            <w:r w:rsidRPr="00A8254C">
              <w:rPr>
                <w:sz w:val="20"/>
                <w:szCs w:val="20"/>
              </w:rPr>
              <w:noBreakHyphen/>
              <w:t xml:space="preserve"> and 6</w:t>
            </w:r>
            <w:r w:rsidRPr="00A8254C">
              <w:rPr>
                <w:sz w:val="20"/>
                <w:szCs w:val="20"/>
              </w:rPr>
              <w:noBreakHyphen/>
              <w:t>digit level.</w:t>
            </w:r>
          </w:p>
        </w:tc>
        <w:tc>
          <w:tcPr>
            <w:tcW w:w="3442" w:type="dxa"/>
            <w:hideMark/>
          </w:tcPr>
          <w:p w14:paraId="747C0520"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Exports, RCA, “distance” → scurve; overall trade index</w:t>
            </w:r>
            <w:r w:rsidRPr="00A8254C">
              <w:rPr>
                <w:rFonts w:ascii="Arial" w:hAnsi="Arial" w:cs="Arial"/>
                <w:sz w:val="20"/>
                <w:szCs w:val="20"/>
              </w:rPr>
              <w:t> </w:t>
            </w:r>
            <w:r w:rsidRPr="00A8254C">
              <w:rPr>
                <w:sz w:val="20"/>
                <w:szCs w:val="20"/>
              </w:rPr>
              <w:t>=</w:t>
            </w:r>
            <w:r w:rsidRPr="00A8254C">
              <w:rPr>
                <w:rFonts w:ascii="Arial" w:hAnsi="Arial" w:cs="Arial"/>
                <w:sz w:val="20"/>
                <w:szCs w:val="20"/>
              </w:rPr>
              <w:t> </w:t>
            </w:r>
            <w:r w:rsidRPr="00A8254C">
              <w:rPr>
                <w:sz w:val="20"/>
                <w:szCs w:val="20"/>
              </w:rPr>
              <w:t>mean of four scores; technology</w:t>
            </w:r>
            <w:r w:rsidRPr="00A8254C">
              <w:rPr>
                <w:sz w:val="20"/>
                <w:szCs w:val="20"/>
              </w:rPr>
              <w:noBreakHyphen/>
              <w:t>level HHI is added.</w:t>
            </w:r>
          </w:p>
        </w:tc>
        <w:tc>
          <w:tcPr>
            <w:tcW w:w="1814" w:type="dxa"/>
            <w:hideMark/>
          </w:tcPr>
          <w:p w14:paraId="54DD88BF"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Harvard Atlas of Economic Complexity v2</w:t>
            </w:r>
          </w:p>
        </w:tc>
      </w:tr>
      <w:tr w:rsidR="00D216E0" w:rsidRPr="002D79C0" w14:paraId="782F2F8E" w14:textId="77777777" w:rsidTr="00C50100">
        <w:tc>
          <w:tcPr>
            <w:cnfStyle w:val="001000000000" w:firstRow="0" w:lastRow="0" w:firstColumn="1" w:lastColumn="0" w:oddVBand="0" w:evenVBand="0" w:oddHBand="0" w:evenHBand="0" w:firstRowFirstColumn="0" w:firstRowLastColumn="0" w:lastRowFirstColumn="0" w:lastRowLastColumn="0"/>
            <w:tcW w:w="964" w:type="dxa"/>
            <w:hideMark/>
          </w:tcPr>
          <w:p w14:paraId="49153880" w14:textId="77777777" w:rsidR="00D216E0" w:rsidRPr="002D79C0" w:rsidRDefault="00D216E0" w:rsidP="00C50100">
            <w:r w:rsidRPr="002D79C0">
              <w:t>3</w:t>
            </w:r>
          </w:p>
        </w:tc>
        <w:tc>
          <w:tcPr>
            <w:tcW w:w="1551" w:type="dxa"/>
            <w:hideMark/>
          </w:tcPr>
          <w:p w14:paraId="4E255F4A" w14:textId="77777777" w:rsidR="00D216E0" w:rsidRPr="0065454F"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5454F">
              <w:rPr>
                <w:b/>
                <w:bCs/>
                <w:sz w:val="20"/>
                <w:szCs w:val="20"/>
              </w:rPr>
              <w:t>Energy access &amp; consumption</w:t>
            </w:r>
          </w:p>
        </w:tc>
        <w:tc>
          <w:tcPr>
            <w:tcW w:w="2520" w:type="dxa"/>
            <w:hideMark/>
          </w:tcPr>
          <w:p w14:paraId="0AC57D17"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Per</w:t>
            </w:r>
            <w:r w:rsidRPr="00A8254C">
              <w:rPr>
                <w:sz w:val="20"/>
                <w:szCs w:val="20"/>
              </w:rPr>
              <w:noBreakHyphen/>
              <w:t xml:space="preserve">capita consumption of six primary fuels in 2023 </w:t>
            </w:r>
            <w:r w:rsidRPr="00A8254C">
              <w:rPr>
                <w:b/>
                <w:bCs/>
                <w:sz w:val="20"/>
                <w:szCs w:val="20"/>
              </w:rPr>
              <w:t>and</w:t>
            </w:r>
            <w:r w:rsidRPr="00A8254C">
              <w:rPr>
                <w:sz w:val="20"/>
                <w:szCs w:val="20"/>
              </w:rPr>
              <w:t xml:space="preserve"> 2018</w:t>
            </w:r>
            <w:r w:rsidRPr="00A8254C">
              <w:rPr>
                <w:sz w:val="20"/>
                <w:szCs w:val="20"/>
              </w:rPr>
              <w:noBreakHyphen/>
              <w:t>23 growth.</w:t>
            </w:r>
          </w:p>
        </w:tc>
        <w:tc>
          <w:tcPr>
            <w:tcW w:w="3442" w:type="dxa"/>
            <w:hideMark/>
          </w:tcPr>
          <w:p w14:paraId="555CA1B6"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Raw fuel</w:t>
            </w:r>
            <w:r w:rsidRPr="00A8254C">
              <w:rPr>
                <w:rFonts w:ascii="Arial" w:hAnsi="Arial" w:cs="Arial"/>
                <w:sz w:val="20"/>
                <w:szCs w:val="20"/>
              </w:rPr>
              <w:t> </w:t>
            </w:r>
            <w:r w:rsidRPr="00A8254C">
              <w:rPr>
                <w:sz w:val="20"/>
                <w:szCs w:val="20"/>
              </w:rPr>
              <w:t>/</w:t>
            </w:r>
            <w:r w:rsidRPr="00A8254C">
              <w:rPr>
                <w:rFonts w:ascii="Arial" w:hAnsi="Arial" w:cs="Arial"/>
                <w:sz w:val="20"/>
                <w:szCs w:val="20"/>
              </w:rPr>
              <w:t> </w:t>
            </w:r>
            <w:r w:rsidRPr="00A8254C">
              <w:rPr>
                <w:sz w:val="20"/>
                <w:szCs w:val="20"/>
              </w:rPr>
              <w:t xml:space="preserve">capita and growth (%) </w:t>
            </w:r>
            <w:r w:rsidRPr="00A8254C">
              <w:rPr>
                <w:rFonts w:ascii="Aptos" w:hAnsi="Aptos" w:cs="Aptos"/>
                <w:sz w:val="20"/>
                <w:szCs w:val="20"/>
              </w:rPr>
              <w:t>→</w:t>
            </w:r>
            <w:r w:rsidRPr="00A8254C">
              <w:rPr>
                <w:sz w:val="20"/>
                <w:szCs w:val="20"/>
              </w:rPr>
              <w:t xml:space="preserve"> s</w:t>
            </w:r>
            <w:r>
              <w:rPr>
                <w:sz w:val="20"/>
                <w:szCs w:val="20"/>
              </w:rPr>
              <w:t>-</w:t>
            </w:r>
            <w:r w:rsidRPr="00A8254C">
              <w:rPr>
                <w:sz w:val="20"/>
                <w:szCs w:val="20"/>
              </w:rPr>
              <w:t>curve; scores averaged.</w:t>
            </w:r>
          </w:p>
        </w:tc>
        <w:tc>
          <w:tcPr>
            <w:tcW w:w="1814" w:type="dxa"/>
            <w:hideMark/>
          </w:tcPr>
          <w:p w14:paraId="5DB4B276" w14:textId="77777777" w:rsidR="00D216E0" w:rsidRPr="00A8254C"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A8254C">
              <w:rPr>
                <w:sz w:val="20"/>
                <w:szCs w:val="20"/>
              </w:rPr>
              <w:t>EI Statistical Review</w:t>
            </w:r>
          </w:p>
        </w:tc>
      </w:tr>
    </w:tbl>
    <w:p w14:paraId="454060DC" w14:textId="77777777" w:rsidR="00D216E0" w:rsidRDefault="00D216E0" w:rsidP="00D216E0">
      <w:pPr>
        <w:rPr>
          <w:i/>
          <w:iCs/>
        </w:rPr>
      </w:pPr>
    </w:p>
    <w:p w14:paraId="51D09E94" w14:textId="77777777" w:rsidR="00D216E0" w:rsidRDefault="00D216E0" w:rsidP="00D216E0">
      <w:pPr>
        <w:pStyle w:val="Heading4"/>
      </w:pPr>
      <w:r>
        <w:t>Results</w:t>
      </w:r>
    </w:p>
    <w:p w14:paraId="4B60789E" w14:textId="77777777" w:rsidR="00D216E0" w:rsidRDefault="00D216E0" w:rsidP="00D216E0">
      <w:r>
        <w:t>Exhibit XX illustrates the constituent indices used to calculate the Energy Security Composite Index for battery technology, disaggregated by the upstream, midstream, and downstream stages of the value chain. Each constituent metric is derived from raw data and transformed into a relative ranking, as detailed in the methodology table above.</w:t>
      </w:r>
    </w:p>
    <w:p w14:paraId="4F0031F8" w14:textId="77777777" w:rsidR="00D216E0" w:rsidRPr="005A774E" w:rsidRDefault="00D216E0" w:rsidP="00D216E0">
      <w:r>
        <w:t xml:space="preserve">To contextualize the results, the exhibit presents scores for the highest-GDP country in each continent. This allows users to better understand how the United States’ constituent indices are constructed relative to global peers across different segments of the battery </w:t>
      </w:r>
      <w:r>
        <w:lastRenderedPageBreak/>
        <w:t>supply chain.</w:t>
      </w:r>
      <w:commentRangeStart w:id="0"/>
      <w:commentRangeStart w:id="1"/>
      <w:r>
        <w:rPr>
          <w:noProof/>
        </w:rPr>
        <w:drawing>
          <wp:inline distT="0" distB="0" distL="0" distR="0" wp14:anchorId="58AEFA64" wp14:editId="4BC8C610">
            <wp:extent cx="5943600" cy="5406758"/>
            <wp:effectExtent l="0" t="0" r="0" b="3810"/>
            <wp:docPr id="1381924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24373"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5406758"/>
                    </a:xfrm>
                    <a:prstGeom prst="rect">
                      <a:avLst/>
                    </a:prstGeom>
                  </pic:spPr>
                </pic:pic>
              </a:graphicData>
            </a:graphic>
          </wp:inline>
        </w:drawing>
      </w:r>
      <w:commentRangeEnd w:id="1"/>
      <w:r w:rsidRPr="005A774E">
        <w:rPr>
          <w:rStyle w:val="CommentReference"/>
          <w:sz w:val="24"/>
          <w:szCs w:val="24"/>
        </w:rPr>
        <w:commentReference w:id="1"/>
      </w:r>
      <w:commentRangeEnd w:id="0"/>
      <w:r w:rsidRPr="005A774E">
        <w:rPr>
          <w:rStyle w:val="CommentReference"/>
          <w:sz w:val="24"/>
          <w:szCs w:val="24"/>
        </w:rPr>
        <w:commentReference w:id="0"/>
      </w:r>
    </w:p>
    <w:p w14:paraId="5589D880" w14:textId="77777777" w:rsidR="00D216E0" w:rsidRDefault="00D216E0" w:rsidP="00D216E0">
      <w:pPr>
        <w:pStyle w:val="Heading3"/>
      </w:pPr>
      <w:r w:rsidRPr="002D79C0">
        <w:t>4.2</w:t>
      </w:r>
      <w:r w:rsidRPr="002D79C0">
        <w:t> </w:t>
      </w:r>
      <w:r w:rsidRPr="002D79C0">
        <w:t>Economic</w:t>
      </w:r>
      <w:r w:rsidRPr="002D79C0">
        <w:rPr>
          <w:rFonts w:ascii="Arial" w:hAnsi="Arial" w:cs="Arial"/>
        </w:rPr>
        <w:t> </w:t>
      </w:r>
      <w:r w:rsidRPr="002D79C0">
        <w:t>Opportunity pillar</w:t>
      </w:r>
    </w:p>
    <w:p w14:paraId="24438570" w14:textId="77777777" w:rsidR="00D216E0" w:rsidRDefault="00D216E0" w:rsidP="00D216E0">
      <w:r w:rsidRPr="00141C0C">
        <w:t xml:space="preserve">Measures the </w:t>
      </w:r>
      <w:r w:rsidRPr="00141C0C">
        <w:rPr>
          <w:b/>
          <w:bCs/>
        </w:rPr>
        <w:t>economic and industrial upside</w:t>
      </w:r>
      <w:r w:rsidRPr="00141C0C">
        <w:t xml:space="preserve"> for the U.S. in each</w:t>
      </w:r>
      <w:r>
        <w:t xml:space="preserve"> energy</w:t>
      </w:r>
      <w:r w:rsidRPr="00141C0C">
        <w:t xml:space="preserve"> technology</w:t>
      </w:r>
      <w:r>
        <w:t xml:space="preserve"> and supply chain</w:t>
      </w:r>
      <w:r w:rsidRPr="00141C0C">
        <w:t xml:space="preserve">. It blends indicators of market size, growth, and domestic industrial base. For instance, it considers U.S. demand (e.g. energy consumption per capita and projected growth for the tech), production capacity (manufacturing share of the global market), cost-competitiveness (e.g. relative energy prices, such as electricity costs, that affect manufacturing), and innovation potential (R&amp;D or pipeline projects). </w:t>
      </w:r>
    </w:p>
    <w:p w14:paraId="4D62D27C" w14:textId="77777777" w:rsidR="00D216E0" w:rsidRPr="00D601A5" w:rsidRDefault="00D216E0" w:rsidP="00D216E0">
      <w:r>
        <w:t>Overall, a</w:t>
      </w:r>
      <w:r w:rsidRPr="00141C0C">
        <w:t xml:space="preserve"> high score indicates a technology where the U.S. stands to gain significant jobs, exports, or industrial leadership in </w:t>
      </w:r>
      <w:r>
        <w:t>the coming decade</w:t>
      </w:r>
      <w:r w:rsidRPr="00141C0C">
        <w:t xml:space="preserve">. </w:t>
      </w:r>
      <w:r w:rsidRPr="00E34B40">
        <w:t>For example,</w:t>
      </w:r>
      <w:r w:rsidRPr="00141C0C">
        <w:t xml:space="preserve"> </w:t>
      </w:r>
      <w:r w:rsidRPr="00BE26C9">
        <w:rPr>
          <w:b/>
        </w:rPr>
        <w:t>e</w:t>
      </w:r>
      <w:r w:rsidRPr="00141C0C">
        <w:rPr>
          <w:b/>
          <w:bCs/>
        </w:rPr>
        <w:t>lectric vehicles (EVs)</w:t>
      </w:r>
      <w:r w:rsidRPr="00141C0C">
        <w:t xml:space="preserve"> show high economic opportunity – large domestic market demand and major growth </w:t>
      </w:r>
      <w:r w:rsidRPr="00141C0C">
        <w:lastRenderedPageBreak/>
        <w:t xml:space="preserve">globally – whereas conventional </w:t>
      </w:r>
      <w:r w:rsidRPr="00141C0C">
        <w:rPr>
          <w:b/>
          <w:bCs/>
        </w:rPr>
        <w:t>solar panel manufacturing</w:t>
      </w:r>
      <w:r w:rsidRPr="00141C0C">
        <w:t xml:space="preserve"> currently shows lower U.S. opportunity (the industry is dominated by overseas suppliers, and the U.S. has limited market share).</w:t>
      </w:r>
      <w:r>
        <w:rPr>
          <w:rStyle w:val="EndnoteReference"/>
        </w:rPr>
        <w:endnoteReference w:id="3"/>
      </w:r>
      <w:r w:rsidRPr="00141C0C">
        <w:t xml:space="preserve"> However, emerging areas like </w:t>
      </w:r>
      <w:r w:rsidRPr="00141C0C">
        <w:rPr>
          <w:b/>
          <w:bCs/>
        </w:rPr>
        <w:t>advanced nuclear</w:t>
      </w:r>
      <w:r w:rsidRPr="00141C0C">
        <w:t xml:space="preserve"> and </w:t>
      </w:r>
      <w:r>
        <w:rPr>
          <w:b/>
          <w:bCs/>
        </w:rPr>
        <w:t>geothermal</w:t>
      </w:r>
      <w:r w:rsidRPr="00141C0C">
        <w:t xml:space="preserve"> register rising opportunity, given growing global interest and areas of U.S. technical strength.</w:t>
      </w:r>
      <w:r>
        <w:rPr>
          <w:rStyle w:val="EndnoteReference"/>
        </w:rPr>
        <w:endnoteReference w:id="4"/>
      </w:r>
    </w:p>
    <w:p w14:paraId="6331ACBF" w14:textId="77777777" w:rsidR="00D216E0" w:rsidRPr="002D79C0" w:rsidRDefault="00D216E0" w:rsidP="00D216E0">
      <w:pPr>
        <w:pStyle w:val="Heading4"/>
      </w:pPr>
      <w:r>
        <w:t>Methodology</w:t>
      </w:r>
    </w:p>
    <w:tbl>
      <w:tblPr>
        <w:tblStyle w:val="GridTable1Light-Accent2"/>
        <w:tblW w:w="0" w:type="auto"/>
        <w:tblLook w:val="04A0" w:firstRow="1" w:lastRow="0" w:firstColumn="1" w:lastColumn="0" w:noHBand="0" w:noVBand="1"/>
      </w:tblPr>
      <w:tblGrid>
        <w:gridCol w:w="808"/>
        <w:gridCol w:w="1688"/>
        <w:gridCol w:w="2512"/>
        <w:gridCol w:w="2319"/>
        <w:gridCol w:w="2023"/>
      </w:tblGrid>
      <w:tr w:rsidR="00D216E0" w:rsidRPr="002D79C0" w14:paraId="50B3ED64"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D0317" w14:textId="77777777" w:rsidR="00D216E0" w:rsidRPr="002D79C0" w:rsidRDefault="00D216E0" w:rsidP="00C50100">
            <w:pPr>
              <w:rPr>
                <w:b w:val="0"/>
                <w:bCs w:val="0"/>
              </w:rPr>
            </w:pPr>
            <w:r w:rsidRPr="002D79C0">
              <w:t>Weight in pillar‡</w:t>
            </w:r>
          </w:p>
        </w:tc>
        <w:tc>
          <w:tcPr>
            <w:tcW w:w="0" w:type="auto"/>
            <w:hideMark/>
          </w:tcPr>
          <w:p w14:paraId="052C4BD2"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Sub</w:t>
            </w:r>
            <w:r w:rsidRPr="002D79C0">
              <w:noBreakHyphen/>
              <w:t>index</w:t>
            </w:r>
          </w:p>
        </w:tc>
        <w:tc>
          <w:tcPr>
            <w:tcW w:w="0" w:type="auto"/>
            <w:hideMark/>
          </w:tcPr>
          <w:p w14:paraId="0F656F30"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What is measured</w:t>
            </w:r>
          </w:p>
        </w:tc>
        <w:tc>
          <w:tcPr>
            <w:tcW w:w="0" w:type="auto"/>
            <w:hideMark/>
          </w:tcPr>
          <w:p w14:paraId="41674B3F"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Normalisation &amp; aggregation</w:t>
            </w:r>
          </w:p>
        </w:tc>
        <w:tc>
          <w:tcPr>
            <w:tcW w:w="0" w:type="auto"/>
            <w:hideMark/>
          </w:tcPr>
          <w:p w14:paraId="32BE7C51"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Key data source(s)</w:t>
            </w:r>
          </w:p>
        </w:tc>
      </w:tr>
      <w:tr w:rsidR="00D216E0" w:rsidRPr="002D79C0" w14:paraId="7B1BF693"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1A6F77D" w14:textId="77777777" w:rsidR="00D216E0" w:rsidRPr="002D79C0" w:rsidRDefault="00D216E0" w:rsidP="00C50100">
            <w:r w:rsidRPr="002D79C0">
              <w:t>5</w:t>
            </w:r>
          </w:p>
        </w:tc>
        <w:tc>
          <w:tcPr>
            <w:tcW w:w="0" w:type="auto"/>
            <w:hideMark/>
          </w:tcPr>
          <w:p w14:paraId="1D7127F1"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Future demand</w:t>
            </w:r>
          </w:p>
        </w:tc>
        <w:tc>
          <w:tcPr>
            <w:tcW w:w="0" w:type="auto"/>
            <w:hideMark/>
          </w:tcPr>
          <w:p w14:paraId="1915FE80"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Global demand size (2035) &amp; growth (2023–35) for each fuel/technology. Size &amp; growth combined at 1</w:t>
            </w:r>
            <w:r w:rsidRPr="00646AFE">
              <w:rPr>
                <w:rFonts w:ascii="Arial" w:hAnsi="Arial" w:cs="Arial"/>
                <w:sz w:val="20"/>
                <w:szCs w:val="20"/>
              </w:rPr>
              <w:t> </w:t>
            </w:r>
            <w:r w:rsidRPr="00646AFE">
              <w:rPr>
                <w:sz w:val="20"/>
                <w:szCs w:val="20"/>
              </w:rPr>
              <w:t>:</w:t>
            </w:r>
            <w:r w:rsidRPr="00646AFE">
              <w:rPr>
                <w:rFonts w:ascii="Arial" w:hAnsi="Arial" w:cs="Arial"/>
                <w:sz w:val="20"/>
                <w:szCs w:val="20"/>
              </w:rPr>
              <w:t> </w:t>
            </w:r>
            <w:r w:rsidRPr="00646AFE">
              <w:rPr>
                <w:sz w:val="20"/>
                <w:szCs w:val="20"/>
              </w:rPr>
              <w:t>2 ratio.</w:t>
            </w:r>
          </w:p>
        </w:tc>
        <w:tc>
          <w:tcPr>
            <w:tcW w:w="0" w:type="auto"/>
            <w:hideMark/>
          </w:tcPr>
          <w:p w14:paraId="7BD145F2"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Each raw value → scurve → (size</w:t>
            </w:r>
            <w:r w:rsidRPr="00646AFE">
              <w:rPr>
                <w:rFonts w:ascii="Arial" w:hAnsi="Arial" w:cs="Arial"/>
                <w:sz w:val="20"/>
                <w:szCs w:val="20"/>
              </w:rPr>
              <w:t> </w:t>
            </w:r>
            <w:r w:rsidRPr="00646AFE">
              <w:rPr>
                <w:sz w:val="20"/>
                <w:szCs w:val="20"/>
              </w:rPr>
              <w:t>+</w:t>
            </w:r>
            <w:r w:rsidRPr="00646AFE">
              <w:rPr>
                <w:rFonts w:ascii="Arial" w:hAnsi="Arial" w:cs="Arial"/>
                <w:sz w:val="20"/>
                <w:szCs w:val="20"/>
              </w:rPr>
              <w:t> </w:t>
            </w:r>
            <w:r w:rsidRPr="00646AFE">
              <w:rPr>
                <w:sz w:val="20"/>
                <w:szCs w:val="20"/>
              </w:rPr>
              <w:t>2</w:t>
            </w:r>
            <w:r w:rsidRPr="00646AFE">
              <w:rPr>
                <w:rFonts w:ascii="Arial" w:hAnsi="Arial" w:cs="Arial"/>
                <w:sz w:val="20"/>
                <w:szCs w:val="20"/>
              </w:rPr>
              <w:t> </w:t>
            </w:r>
            <w:r w:rsidRPr="00646AFE">
              <w:rPr>
                <w:rFonts w:ascii="Aptos" w:hAnsi="Aptos" w:cs="Aptos"/>
                <w:sz w:val="20"/>
                <w:szCs w:val="20"/>
              </w:rPr>
              <w:t>×</w:t>
            </w:r>
            <w:r w:rsidRPr="00646AFE">
              <w:rPr>
                <w:rFonts w:ascii="Arial" w:hAnsi="Arial" w:cs="Arial"/>
                <w:sz w:val="20"/>
                <w:szCs w:val="20"/>
              </w:rPr>
              <w:t> </w:t>
            </w:r>
            <w:r w:rsidRPr="00646AFE">
              <w:rPr>
                <w:sz w:val="20"/>
                <w:szCs w:val="20"/>
              </w:rPr>
              <w:t xml:space="preserve">growth)/3 </w:t>
            </w:r>
            <w:r w:rsidRPr="00646AFE">
              <w:rPr>
                <w:rFonts w:ascii="Aptos" w:hAnsi="Aptos" w:cs="Aptos"/>
                <w:sz w:val="20"/>
                <w:szCs w:val="20"/>
              </w:rPr>
              <w:t>→</w:t>
            </w:r>
            <w:r w:rsidRPr="00646AFE">
              <w:rPr>
                <w:sz w:val="20"/>
                <w:szCs w:val="20"/>
              </w:rPr>
              <w:t xml:space="preserve"> scurve.</w:t>
            </w:r>
          </w:p>
        </w:tc>
        <w:tc>
          <w:tcPr>
            <w:tcW w:w="0" w:type="auto"/>
            <w:hideMark/>
          </w:tcPr>
          <w:p w14:paraId="26753FC4"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 xml:space="preserve">IEA </w:t>
            </w:r>
            <w:r w:rsidRPr="00646AFE">
              <w:rPr>
                <w:i/>
                <w:iCs/>
                <w:sz w:val="20"/>
                <w:szCs w:val="20"/>
              </w:rPr>
              <w:t>World</w:t>
            </w:r>
            <w:r w:rsidRPr="00646AFE">
              <w:rPr>
                <w:rFonts w:ascii="Arial" w:hAnsi="Arial" w:cs="Arial"/>
                <w:i/>
                <w:iCs/>
                <w:sz w:val="20"/>
                <w:szCs w:val="20"/>
              </w:rPr>
              <w:t> </w:t>
            </w:r>
            <w:r w:rsidRPr="00646AFE">
              <w:rPr>
                <w:i/>
                <w:iCs/>
                <w:sz w:val="20"/>
                <w:szCs w:val="20"/>
              </w:rPr>
              <w:t>Energy</w:t>
            </w:r>
            <w:r w:rsidRPr="00646AFE">
              <w:rPr>
                <w:rFonts w:ascii="Arial" w:hAnsi="Arial" w:cs="Arial"/>
                <w:i/>
                <w:iCs/>
                <w:sz w:val="20"/>
                <w:szCs w:val="20"/>
              </w:rPr>
              <w:t> </w:t>
            </w:r>
            <w:r w:rsidRPr="00646AFE">
              <w:rPr>
                <w:i/>
                <w:iCs/>
                <w:sz w:val="20"/>
                <w:szCs w:val="20"/>
              </w:rPr>
              <w:t>Outlook</w:t>
            </w:r>
            <w:r w:rsidRPr="00646AFE">
              <w:rPr>
                <w:rFonts w:ascii="Arial" w:hAnsi="Arial" w:cs="Arial"/>
                <w:i/>
                <w:iCs/>
                <w:sz w:val="20"/>
                <w:szCs w:val="20"/>
              </w:rPr>
              <w:t> </w:t>
            </w:r>
            <w:r w:rsidRPr="00646AFE">
              <w:rPr>
                <w:i/>
                <w:iCs/>
                <w:sz w:val="20"/>
                <w:szCs w:val="20"/>
              </w:rPr>
              <w:t>2024</w:t>
            </w:r>
            <w:r w:rsidRPr="00646AFE">
              <w:rPr>
                <w:sz w:val="20"/>
                <w:szCs w:val="20"/>
              </w:rPr>
              <w:t xml:space="preserve"> (STEPS) and BNEF </w:t>
            </w:r>
            <w:r w:rsidRPr="00646AFE">
              <w:rPr>
                <w:i/>
                <w:iCs/>
                <w:sz w:val="20"/>
                <w:szCs w:val="20"/>
              </w:rPr>
              <w:t>New</w:t>
            </w:r>
            <w:r w:rsidRPr="00646AFE">
              <w:rPr>
                <w:rFonts w:ascii="Arial" w:hAnsi="Arial" w:cs="Arial"/>
                <w:i/>
                <w:iCs/>
                <w:sz w:val="20"/>
                <w:szCs w:val="20"/>
              </w:rPr>
              <w:t> </w:t>
            </w:r>
            <w:r w:rsidRPr="00646AFE">
              <w:rPr>
                <w:i/>
                <w:iCs/>
                <w:sz w:val="20"/>
                <w:szCs w:val="20"/>
              </w:rPr>
              <w:t>Energy</w:t>
            </w:r>
            <w:r w:rsidRPr="00646AFE">
              <w:rPr>
                <w:rFonts w:ascii="Arial" w:hAnsi="Arial" w:cs="Arial"/>
                <w:i/>
                <w:iCs/>
                <w:sz w:val="20"/>
                <w:szCs w:val="20"/>
              </w:rPr>
              <w:t> </w:t>
            </w:r>
            <w:r w:rsidRPr="00646AFE">
              <w:rPr>
                <w:i/>
                <w:iCs/>
                <w:sz w:val="20"/>
                <w:szCs w:val="20"/>
              </w:rPr>
              <w:t>Outlook</w:t>
            </w:r>
            <w:r w:rsidRPr="00646AFE">
              <w:rPr>
                <w:rFonts w:ascii="Arial" w:hAnsi="Arial" w:cs="Arial"/>
                <w:i/>
                <w:iCs/>
                <w:sz w:val="20"/>
                <w:szCs w:val="20"/>
              </w:rPr>
              <w:t> </w:t>
            </w:r>
            <w:r w:rsidRPr="00646AFE">
              <w:rPr>
                <w:i/>
                <w:iCs/>
                <w:sz w:val="20"/>
                <w:szCs w:val="20"/>
              </w:rPr>
              <w:t>2024</w:t>
            </w:r>
            <w:r w:rsidRPr="00646AFE">
              <w:rPr>
                <w:sz w:val="20"/>
                <w:szCs w:val="20"/>
              </w:rPr>
              <w:t xml:space="preserve"> (ETS).</w:t>
            </w:r>
          </w:p>
        </w:tc>
      </w:tr>
      <w:tr w:rsidR="00D216E0" w:rsidRPr="002D79C0" w14:paraId="0BD03366"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7ACF6454" w14:textId="77777777" w:rsidR="00D216E0" w:rsidRPr="002D79C0" w:rsidRDefault="00D216E0" w:rsidP="00C50100">
            <w:r w:rsidRPr="002D79C0">
              <w:t>4</w:t>
            </w:r>
          </w:p>
        </w:tc>
        <w:tc>
          <w:tcPr>
            <w:tcW w:w="0" w:type="auto"/>
            <w:hideMark/>
          </w:tcPr>
          <w:p w14:paraId="0148DF55"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Production depth &amp; momentum</w:t>
            </w:r>
          </w:p>
        </w:tc>
        <w:tc>
          <w:tcPr>
            <w:tcW w:w="0" w:type="auto"/>
            <w:hideMark/>
          </w:tcPr>
          <w:p w14:paraId="63AC7A3F"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2023 production, 2018</w:t>
            </w:r>
            <w:r w:rsidRPr="00646AFE">
              <w:rPr>
                <w:sz w:val="20"/>
                <w:szCs w:val="20"/>
              </w:rPr>
              <w:noBreakHyphen/>
              <w:t>23 growth &amp; absolute growth for upstream (fossil, mineral) and downstream (generation) activities.</w:t>
            </w:r>
          </w:p>
        </w:tc>
        <w:tc>
          <w:tcPr>
            <w:tcW w:w="0" w:type="auto"/>
            <w:hideMark/>
          </w:tcPr>
          <w:p w14:paraId="6ADAAFD5"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Three raw metrics → scurve → mean → scurve.</w:t>
            </w:r>
          </w:p>
        </w:tc>
        <w:tc>
          <w:tcPr>
            <w:tcW w:w="0" w:type="auto"/>
            <w:hideMark/>
          </w:tcPr>
          <w:p w14:paraId="629867BA"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EI Statistical Review</w:t>
            </w:r>
            <w:r w:rsidRPr="00646AFE">
              <w:rPr>
                <w:rFonts w:ascii="Arial" w:hAnsi="Arial" w:cs="Arial"/>
                <w:sz w:val="20"/>
                <w:szCs w:val="20"/>
              </w:rPr>
              <w:t> </w:t>
            </w:r>
            <w:r w:rsidRPr="00646AFE">
              <w:rPr>
                <w:sz w:val="20"/>
                <w:szCs w:val="20"/>
              </w:rPr>
              <w:t>2024; IEA Mineral Supply 2025.</w:t>
            </w:r>
          </w:p>
        </w:tc>
      </w:tr>
      <w:tr w:rsidR="00D216E0" w:rsidRPr="002D79C0" w14:paraId="2F7F0564"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D5087F3" w14:textId="77777777" w:rsidR="00D216E0" w:rsidRPr="002D79C0" w:rsidRDefault="00D216E0" w:rsidP="00C50100">
            <w:r w:rsidRPr="002D79C0">
              <w:t>4</w:t>
            </w:r>
          </w:p>
        </w:tc>
        <w:tc>
          <w:tcPr>
            <w:tcW w:w="0" w:type="auto"/>
            <w:hideMark/>
          </w:tcPr>
          <w:p w14:paraId="257C6273"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Export feasibility</w:t>
            </w:r>
          </w:p>
        </w:tc>
        <w:tc>
          <w:tcPr>
            <w:tcW w:w="0" w:type="auto"/>
            <w:hideMark/>
          </w:tcPr>
          <w:p w14:paraId="2FD9A235"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Revealed</w:t>
            </w:r>
            <w:r w:rsidRPr="00646AFE">
              <w:rPr>
                <w:sz w:val="20"/>
                <w:szCs w:val="20"/>
              </w:rPr>
              <w:noBreakHyphen/>
              <w:t>comparative</w:t>
            </w:r>
            <w:r w:rsidRPr="00646AFE">
              <w:rPr>
                <w:sz w:val="20"/>
                <w:szCs w:val="20"/>
              </w:rPr>
              <w:noBreakHyphen/>
              <w:t>advantage, “distance” in product space &amp; export scale for energy</w:t>
            </w:r>
            <w:r w:rsidRPr="00646AFE">
              <w:rPr>
                <w:sz w:val="20"/>
                <w:szCs w:val="20"/>
              </w:rPr>
              <w:noBreakHyphen/>
              <w:t>product HS codes.</w:t>
            </w:r>
          </w:p>
        </w:tc>
        <w:tc>
          <w:tcPr>
            <w:tcW w:w="0" w:type="auto"/>
            <w:hideMark/>
          </w:tcPr>
          <w:p w14:paraId="4B308938"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Each metric → scurve → mean → scurve.</w:t>
            </w:r>
          </w:p>
        </w:tc>
        <w:tc>
          <w:tcPr>
            <w:tcW w:w="0" w:type="auto"/>
            <w:hideMark/>
          </w:tcPr>
          <w:p w14:paraId="200D0B81"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Harvard Atlas (OEC).</w:t>
            </w:r>
          </w:p>
        </w:tc>
      </w:tr>
      <w:tr w:rsidR="00D216E0" w:rsidRPr="002D79C0" w14:paraId="2948EBBA"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6FEA9A4" w14:textId="77777777" w:rsidR="00D216E0" w:rsidRPr="002D79C0" w:rsidRDefault="00D216E0" w:rsidP="00C50100">
            <w:r w:rsidRPr="002D79C0">
              <w:t>3</w:t>
            </w:r>
          </w:p>
        </w:tc>
        <w:tc>
          <w:tcPr>
            <w:tcW w:w="0" w:type="auto"/>
            <w:hideMark/>
          </w:tcPr>
          <w:p w14:paraId="62BECA06"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Market share (manufacturing)</w:t>
            </w:r>
          </w:p>
        </w:tc>
        <w:tc>
          <w:tcPr>
            <w:tcW w:w="0" w:type="auto"/>
            <w:hideMark/>
          </w:tcPr>
          <w:p w14:paraId="4C593307"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Country share of 2035 global manufacturing capacity in five clean</w:t>
            </w:r>
            <w:r w:rsidRPr="00646AFE">
              <w:rPr>
                <w:sz w:val="20"/>
                <w:szCs w:val="20"/>
              </w:rPr>
              <w:noBreakHyphen/>
              <w:t>tech supply chains.</w:t>
            </w:r>
          </w:p>
        </w:tc>
        <w:tc>
          <w:tcPr>
            <w:tcW w:w="0" w:type="auto"/>
            <w:hideMark/>
          </w:tcPr>
          <w:p w14:paraId="15076E22"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Share → scurve.</w:t>
            </w:r>
          </w:p>
        </w:tc>
        <w:tc>
          <w:tcPr>
            <w:tcW w:w="0" w:type="auto"/>
            <w:hideMark/>
          </w:tcPr>
          <w:p w14:paraId="5918D8FB"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IEA ETP</w:t>
            </w:r>
            <w:r w:rsidRPr="00646AFE">
              <w:rPr>
                <w:rFonts w:ascii="Arial" w:hAnsi="Arial" w:cs="Arial"/>
                <w:sz w:val="20"/>
                <w:szCs w:val="20"/>
              </w:rPr>
              <w:t> </w:t>
            </w:r>
            <w:r w:rsidRPr="00646AFE">
              <w:rPr>
                <w:sz w:val="20"/>
                <w:szCs w:val="20"/>
              </w:rPr>
              <w:t>2024 capacity outlook.</w:t>
            </w:r>
          </w:p>
        </w:tc>
      </w:tr>
      <w:tr w:rsidR="00D216E0" w:rsidRPr="002D79C0" w14:paraId="48008950"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6D88108A" w14:textId="77777777" w:rsidR="00D216E0" w:rsidRPr="002D79C0" w:rsidRDefault="00D216E0" w:rsidP="00C50100">
            <w:r w:rsidRPr="002D79C0">
              <w:t>3</w:t>
            </w:r>
          </w:p>
        </w:tc>
        <w:tc>
          <w:tcPr>
            <w:tcW w:w="0" w:type="auto"/>
            <w:hideMark/>
          </w:tcPr>
          <w:p w14:paraId="17EF7366"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Mineral supply security</w:t>
            </w:r>
          </w:p>
        </w:tc>
        <w:tc>
          <w:tcPr>
            <w:tcW w:w="0" w:type="auto"/>
            <w:hideMark/>
          </w:tcPr>
          <w:p w14:paraId="582ACDDF"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Same index as in Energy</w:t>
            </w:r>
            <w:r w:rsidRPr="00646AFE">
              <w:rPr>
                <w:sz w:val="20"/>
                <w:szCs w:val="20"/>
              </w:rPr>
              <w:noBreakHyphen/>
              <w:t>Security but here treated as the business risk related to global market concentration</w:t>
            </w:r>
          </w:p>
        </w:tc>
        <w:tc>
          <w:tcPr>
            <w:tcW w:w="0" w:type="auto"/>
            <w:hideMark/>
          </w:tcPr>
          <w:p w14:paraId="7D28B83A"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See above.</w:t>
            </w:r>
          </w:p>
        </w:tc>
        <w:tc>
          <w:tcPr>
            <w:tcW w:w="0" w:type="auto"/>
            <w:hideMark/>
          </w:tcPr>
          <w:p w14:paraId="1E308F92"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IEA Critical Minerals.</w:t>
            </w:r>
          </w:p>
        </w:tc>
      </w:tr>
      <w:tr w:rsidR="00D216E0" w:rsidRPr="002D79C0" w14:paraId="438187D8"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57A0A185" w14:textId="77777777" w:rsidR="00D216E0" w:rsidRPr="002D79C0" w:rsidRDefault="00D216E0" w:rsidP="00C50100">
            <w:r w:rsidRPr="002D79C0">
              <w:t>3</w:t>
            </w:r>
          </w:p>
        </w:tc>
        <w:tc>
          <w:tcPr>
            <w:tcW w:w="0" w:type="auto"/>
            <w:hideMark/>
          </w:tcPr>
          <w:p w14:paraId="486154E4"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Energy</w:t>
            </w:r>
            <w:r w:rsidRPr="00646AFE">
              <w:rPr>
                <w:b/>
                <w:bCs/>
                <w:sz w:val="20"/>
                <w:szCs w:val="20"/>
              </w:rPr>
              <w:noBreakHyphen/>
              <w:t>consumption growth</w:t>
            </w:r>
          </w:p>
        </w:tc>
        <w:tc>
          <w:tcPr>
            <w:tcW w:w="0" w:type="auto"/>
            <w:hideMark/>
          </w:tcPr>
          <w:p w14:paraId="5902860B"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2018</w:t>
            </w:r>
            <w:r w:rsidRPr="00646AFE">
              <w:rPr>
                <w:sz w:val="20"/>
                <w:szCs w:val="20"/>
              </w:rPr>
              <w:noBreakHyphen/>
              <w:t>23 per</w:t>
            </w:r>
            <w:r w:rsidRPr="00646AFE">
              <w:rPr>
                <w:sz w:val="20"/>
                <w:szCs w:val="20"/>
              </w:rPr>
              <w:noBreakHyphen/>
              <w:t>capita energy</w:t>
            </w:r>
            <w:r w:rsidRPr="00646AFE">
              <w:rPr>
                <w:sz w:val="20"/>
                <w:szCs w:val="20"/>
              </w:rPr>
              <w:noBreakHyphen/>
              <w:t>use growth index (see §4.1).</w:t>
            </w:r>
          </w:p>
        </w:tc>
        <w:tc>
          <w:tcPr>
            <w:tcW w:w="0" w:type="auto"/>
            <w:hideMark/>
          </w:tcPr>
          <w:p w14:paraId="50DD3E52"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scurve.</w:t>
            </w:r>
          </w:p>
        </w:tc>
        <w:tc>
          <w:tcPr>
            <w:tcW w:w="0" w:type="auto"/>
            <w:hideMark/>
          </w:tcPr>
          <w:p w14:paraId="52AC9FF6"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EI Statistical Review.</w:t>
            </w:r>
          </w:p>
        </w:tc>
      </w:tr>
      <w:tr w:rsidR="00D216E0" w:rsidRPr="002D79C0" w14:paraId="310CA389"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5B453D63" w14:textId="77777777" w:rsidR="00D216E0" w:rsidRPr="002D79C0" w:rsidRDefault="00D216E0" w:rsidP="00C50100">
            <w:r w:rsidRPr="002D79C0">
              <w:t>3</w:t>
            </w:r>
          </w:p>
        </w:tc>
        <w:tc>
          <w:tcPr>
            <w:tcW w:w="0" w:type="auto"/>
            <w:hideMark/>
          </w:tcPr>
          <w:p w14:paraId="0A50E997"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Domestic investment momentum</w:t>
            </w:r>
          </w:p>
        </w:tc>
        <w:tc>
          <w:tcPr>
            <w:tcW w:w="0" w:type="auto"/>
            <w:hideMark/>
          </w:tcPr>
          <w:p w14:paraId="5D1E0B8A"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Five</w:t>
            </w:r>
            <w:r w:rsidRPr="00646AFE">
              <w:rPr>
                <w:sz w:val="20"/>
                <w:szCs w:val="20"/>
              </w:rPr>
              <w:noBreakHyphen/>
              <w:t>year growth and level of US clean</w:t>
            </w:r>
            <w:r w:rsidRPr="00646AFE">
              <w:rPr>
                <w:sz w:val="20"/>
                <w:szCs w:val="20"/>
              </w:rPr>
              <w:noBreakHyphen/>
              <w:t>energy CAPEX by tech × chain (</w:t>
            </w:r>
            <w:r>
              <w:rPr>
                <w:sz w:val="20"/>
                <w:szCs w:val="20"/>
              </w:rPr>
              <w:t xml:space="preserve">currently </w:t>
            </w:r>
            <w:r w:rsidRPr="00646AFE">
              <w:rPr>
                <w:sz w:val="20"/>
                <w:szCs w:val="20"/>
              </w:rPr>
              <w:t>US only).</w:t>
            </w:r>
          </w:p>
        </w:tc>
        <w:tc>
          <w:tcPr>
            <w:tcW w:w="0" w:type="auto"/>
            <w:hideMark/>
          </w:tcPr>
          <w:p w14:paraId="64AD841F"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Size &amp; growth → scurve → mean.</w:t>
            </w:r>
          </w:p>
        </w:tc>
        <w:tc>
          <w:tcPr>
            <w:tcW w:w="0" w:type="auto"/>
            <w:hideMark/>
          </w:tcPr>
          <w:p w14:paraId="6FB2950A"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i/>
                <w:iCs/>
                <w:sz w:val="20"/>
                <w:szCs w:val="20"/>
              </w:rPr>
              <w:t>Clean</w:t>
            </w:r>
            <w:r w:rsidRPr="00646AFE">
              <w:rPr>
                <w:rFonts w:ascii="Arial" w:hAnsi="Arial" w:cs="Arial"/>
                <w:i/>
                <w:iCs/>
                <w:sz w:val="20"/>
                <w:szCs w:val="20"/>
              </w:rPr>
              <w:t> </w:t>
            </w:r>
            <w:r w:rsidRPr="00646AFE">
              <w:rPr>
                <w:i/>
                <w:iCs/>
                <w:sz w:val="20"/>
                <w:szCs w:val="20"/>
              </w:rPr>
              <w:t>Investment</w:t>
            </w:r>
            <w:r w:rsidRPr="00646AFE">
              <w:rPr>
                <w:rFonts w:ascii="Arial" w:hAnsi="Arial" w:cs="Arial"/>
                <w:i/>
                <w:iCs/>
                <w:sz w:val="20"/>
                <w:szCs w:val="20"/>
              </w:rPr>
              <w:t> </w:t>
            </w:r>
            <w:r w:rsidRPr="00646AFE">
              <w:rPr>
                <w:i/>
                <w:iCs/>
                <w:sz w:val="20"/>
                <w:szCs w:val="20"/>
              </w:rPr>
              <w:t>Monitor</w:t>
            </w:r>
            <w:r w:rsidRPr="00646AFE">
              <w:rPr>
                <w:sz w:val="20"/>
                <w:szCs w:val="20"/>
              </w:rPr>
              <w:t xml:space="preserve"> (Rhodium/BNEF, Q4</w:t>
            </w:r>
            <w:r w:rsidRPr="00646AFE">
              <w:rPr>
                <w:sz w:val="20"/>
                <w:szCs w:val="20"/>
              </w:rPr>
              <w:noBreakHyphen/>
              <w:t>2024).</w:t>
            </w:r>
          </w:p>
        </w:tc>
      </w:tr>
      <w:tr w:rsidR="00D216E0" w:rsidRPr="002D79C0" w14:paraId="673BE59C"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CEA7ED5" w14:textId="77777777" w:rsidR="00D216E0" w:rsidRPr="002D79C0" w:rsidRDefault="00D216E0" w:rsidP="00C50100">
            <w:r w:rsidRPr="002D79C0">
              <w:t>3</w:t>
            </w:r>
          </w:p>
        </w:tc>
        <w:tc>
          <w:tcPr>
            <w:tcW w:w="0" w:type="auto"/>
            <w:hideMark/>
          </w:tcPr>
          <w:p w14:paraId="5B1096D5"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Over</w:t>
            </w:r>
            <w:r w:rsidRPr="00646AFE">
              <w:rPr>
                <w:b/>
                <w:bCs/>
                <w:sz w:val="20"/>
                <w:szCs w:val="20"/>
              </w:rPr>
              <w:noBreakHyphen/>
              <w:t>capacity premium</w:t>
            </w:r>
          </w:p>
        </w:tc>
        <w:tc>
          <w:tcPr>
            <w:tcW w:w="0" w:type="auto"/>
            <w:hideMark/>
          </w:tcPr>
          <w:p w14:paraId="267740F9"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Global over</w:t>
            </w:r>
            <w:r w:rsidRPr="00646AFE">
              <w:rPr>
                <w:sz w:val="20"/>
                <w:szCs w:val="20"/>
              </w:rPr>
              <w:noBreakHyphen/>
              <w:t>capacity ratio in the manufacturing supply chain (inverse scored).</w:t>
            </w:r>
          </w:p>
        </w:tc>
        <w:tc>
          <w:tcPr>
            <w:tcW w:w="0" w:type="auto"/>
            <w:hideMark/>
          </w:tcPr>
          <w:p w14:paraId="480450E5"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Index</w:t>
            </w:r>
            <w:r w:rsidRPr="00646AFE">
              <w:rPr>
                <w:rFonts w:ascii="Arial" w:hAnsi="Arial" w:cs="Arial"/>
                <w:sz w:val="20"/>
                <w:szCs w:val="20"/>
              </w:rPr>
              <w:t> </w:t>
            </w:r>
            <w:r w:rsidRPr="00646AFE">
              <w:rPr>
                <w:sz w:val="20"/>
                <w:szCs w:val="20"/>
              </w:rPr>
              <w:t>=</w:t>
            </w:r>
            <w:r w:rsidRPr="00646AFE">
              <w:rPr>
                <w:rFonts w:ascii="Arial" w:hAnsi="Arial" w:cs="Arial"/>
                <w:sz w:val="20"/>
                <w:szCs w:val="20"/>
              </w:rPr>
              <w:t> </w:t>
            </w:r>
            <w:r w:rsidRPr="00646AFE">
              <w:rPr>
                <w:sz w:val="20"/>
                <w:szCs w:val="20"/>
              </w:rPr>
              <w:t>2^(</w:t>
            </w:r>
            <w:r w:rsidRPr="00646AFE">
              <w:rPr>
                <w:sz w:val="20"/>
                <w:szCs w:val="20"/>
              </w:rPr>
              <w:noBreakHyphen/>
              <w:t>over</w:t>
            </w:r>
            <w:r w:rsidRPr="00646AFE">
              <w:rPr>
                <w:sz w:val="20"/>
                <w:szCs w:val="20"/>
              </w:rPr>
              <w:noBreakHyphen/>
              <w:t>capacity</w:t>
            </w:r>
            <w:r w:rsidRPr="00646AFE">
              <w:rPr>
                <w:rFonts w:ascii="Arial" w:hAnsi="Arial" w:cs="Arial"/>
                <w:sz w:val="20"/>
                <w:szCs w:val="20"/>
              </w:rPr>
              <w:t> </w:t>
            </w:r>
            <w:r w:rsidRPr="00646AFE">
              <w:rPr>
                <w:sz w:val="20"/>
                <w:szCs w:val="20"/>
              </w:rPr>
              <w:t>ratio); then scurve.</w:t>
            </w:r>
          </w:p>
        </w:tc>
        <w:tc>
          <w:tcPr>
            <w:tcW w:w="0" w:type="auto"/>
            <w:hideMark/>
          </w:tcPr>
          <w:p w14:paraId="68A0431F"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 xml:space="preserve">BNEF </w:t>
            </w:r>
            <w:r w:rsidRPr="00646AFE">
              <w:rPr>
                <w:i/>
                <w:iCs/>
                <w:sz w:val="20"/>
                <w:szCs w:val="20"/>
              </w:rPr>
              <w:t>Energy</w:t>
            </w:r>
            <w:r w:rsidRPr="00646AFE">
              <w:rPr>
                <w:rFonts w:ascii="Arial" w:hAnsi="Arial" w:cs="Arial"/>
                <w:i/>
                <w:iCs/>
                <w:sz w:val="20"/>
                <w:szCs w:val="20"/>
              </w:rPr>
              <w:t> </w:t>
            </w:r>
            <w:r w:rsidRPr="00646AFE">
              <w:rPr>
                <w:i/>
                <w:iCs/>
                <w:sz w:val="20"/>
                <w:szCs w:val="20"/>
              </w:rPr>
              <w:t>Transition Supply</w:t>
            </w:r>
            <w:r w:rsidRPr="00646AFE">
              <w:rPr>
                <w:i/>
                <w:iCs/>
                <w:sz w:val="20"/>
                <w:szCs w:val="20"/>
              </w:rPr>
              <w:noBreakHyphen/>
              <w:t>Chains</w:t>
            </w:r>
            <w:r w:rsidRPr="00646AFE">
              <w:rPr>
                <w:rFonts w:ascii="Arial" w:hAnsi="Arial" w:cs="Arial"/>
                <w:i/>
                <w:iCs/>
                <w:sz w:val="20"/>
                <w:szCs w:val="20"/>
              </w:rPr>
              <w:t> </w:t>
            </w:r>
            <w:r w:rsidRPr="00646AFE">
              <w:rPr>
                <w:i/>
                <w:iCs/>
                <w:sz w:val="20"/>
                <w:szCs w:val="20"/>
              </w:rPr>
              <w:t>2025</w:t>
            </w:r>
            <w:r w:rsidRPr="00646AFE">
              <w:rPr>
                <w:sz w:val="20"/>
                <w:szCs w:val="20"/>
              </w:rPr>
              <w:t>.</w:t>
            </w:r>
          </w:p>
        </w:tc>
      </w:tr>
      <w:tr w:rsidR="00D216E0" w:rsidRPr="002D79C0" w14:paraId="4632BA85"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7FE47A58" w14:textId="77777777" w:rsidR="00D216E0" w:rsidRPr="002D79C0" w:rsidRDefault="00D216E0" w:rsidP="00C50100">
            <w:r w:rsidRPr="002D79C0">
              <w:t>3</w:t>
            </w:r>
          </w:p>
        </w:tc>
        <w:tc>
          <w:tcPr>
            <w:tcW w:w="0" w:type="auto"/>
            <w:hideMark/>
          </w:tcPr>
          <w:p w14:paraId="7B3678A7"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Global LCOE competitiveness</w:t>
            </w:r>
          </w:p>
        </w:tc>
        <w:tc>
          <w:tcPr>
            <w:tcW w:w="0" w:type="auto"/>
            <w:hideMark/>
          </w:tcPr>
          <w:p w14:paraId="73BF9414"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Mid</w:t>
            </w:r>
            <w:r w:rsidRPr="00646AFE">
              <w:rPr>
                <w:sz w:val="20"/>
                <w:szCs w:val="20"/>
              </w:rPr>
              <w:noBreakHyphen/>
              <w:t>scenario LCOE in 2024 &amp; 2050 for solar, wind, gas, coal, batteries.</w:t>
            </w:r>
          </w:p>
        </w:tc>
        <w:tc>
          <w:tcPr>
            <w:tcW w:w="0" w:type="auto"/>
            <w:hideMark/>
          </w:tcPr>
          <w:p w14:paraId="17A0B562"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LCOE $/MWh → scurve.</w:t>
            </w:r>
          </w:p>
        </w:tc>
        <w:tc>
          <w:tcPr>
            <w:tcW w:w="0" w:type="auto"/>
            <w:hideMark/>
          </w:tcPr>
          <w:p w14:paraId="0B5B3CA8"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BNEF LCOE Data Viewer</w:t>
            </w:r>
            <w:r w:rsidRPr="00646AFE">
              <w:rPr>
                <w:rFonts w:ascii="Arial" w:hAnsi="Arial" w:cs="Arial"/>
                <w:sz w:val="20"/>
                <w:szCs w:val="20"/>
              </w:rPr>
              <w:t> </w:t>
            </w:r>
            <w:r w:rsidRPr="00646AFE">
              <w:rPr>
                <w:sz w:val="20"/>
                <w:szCs w:val="20"/>
              </w:rPr>
              <w:t>2025.</w:t>
            </w:r>
          </w:p>
        </w:tc>
      </w:tr>
      <w:tr w:rsidR="00D216E0" w:rsidRPr="002D79C0" w14:paraId="52A79D91"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32A50B7" w14:textId="77777777" w:rsidR="00D216E0" w:rsidRPr="002D79C0" w:rsidRDefault="00D216E0" w:rsidP="00C50100">
            <w:r w:rsidRPr="002D79C0">
              <w:lastRenderedPageBreak/>
              <w:t>3</w:t>
            </w:r>
          </w:p>
        </w:tc>
        <w:tc>
          <w:tcPr>
            <w:tcW w:w="0" w:type="auto"/>
            <w:hideMark/>
          </w:tcPr>
          <w:p w14:paraId="29675280"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b/>
                <w:bCs/>
                <w:sz w:val="20"/>
                <w:szCs w:val="20"/>
              </w:rPr>
              <w:t>Global demand (SAM)</w:t>
            </w:r>
          </w:p>
        </w:tc>
        <w:tc>
          <w:tcPr>
            <w:tcW w:w="0" w:type="auto"/>
            <w:hideMark/>
          </w:tcPr>
          <w:p w14:paraId="7BD4C00E"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BCG serviceable addressable market 2020</w:t>
            </w:r>
            <w:r w:rsidRPr="00646AFE">
              <w:rPr>
                <w:sz w:val="20"/>
                <w:szCs w:val="20"/>
              </w:rPr>
              <w:noBreakHyphen/>
              <w:t>50 for US exporters (US only).</w:t>
            </w:r>
          </w:p>
        </w:tc>
        <w:tc>
          <w:tcPr>
            <w:tcW w:w="0" w:type="auto"/>
            <w:hideMark/>
          </w:tcPr>
          <w:p w14:paraId="2BD8C4D6"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SAM, scurve.</w:t>
            </w:r>
          </w:p>
        </w:tc>
        <w:tc>
          <w:tcPr>
            <w:tcW w:w="0" w:type="auto"/>
            <w:hideMark/>
          </w:tcPr>
          <w:p w14:paraId="36040103" w14:textId="77777777" w:rsidR="00D216E0" w:rsidRPr="00646AF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646AFE">
              <w:rPr>
                <w:sz w:val="20"/>
                <w:szCs w:val="20"/>
              </w:rPr>
              <w:t>BCG custom analysis.</w:t>
            </w:r>
          </w:p>
        </w:tc>
      </w:tr>
    </w:tbl>
    <w:p w14:paraId="0354967A" w14:textId="77777777" w:rsidR="00D216E0" w:rsidRDefault="00D216E0" w:rsidP="00D216E0">
      <w:pPr>
        <w:rPr>
          <w:b/>
          <w:bCs/>
        </w:rPr>
      </w:pPr>
    </w:p>
    <w:p w14:paraId="5F1D6EC8" w14:textId="77777777" w:rsidR="00D216E0" w:rsidRDefault="00D216E0" w:rsidP="00D216E0">
      <w:pPr>
        <w:pStyle w:val="Heading4"/>
      </w:pPr>
      <w:r>
        <w:t>Results</w:t>
      </w:r>
    </w:p>
    <w:p w14:paraId="072FCBCC" w14:textId="77777777" w:rsidR="00D216E0" w:rsidRDefault="00D216E0" w:rsidP="00D216E0">
      <w:r>
        <w:t>To contextualize the Economic Opportunity index calculation, the country wise of a select group (top GDP country in each continent) of constituent indices for battery technology in exhibit xx below:</w:t>
      </w:r>
    </w:p>
    <w:p w14:paraId="4FAA131F" w14:textId="77777777" w:rsidR="00D216E0" w:rsidRDefault="00D216E0" w:rsidP="00D216E0"/>
    <w:p w14:paraId="4AAC6713" w14:textId="77777777" w:rsidR="00D216E0" w:rsidRDefault="00D216E0" w:rsidP="00D216E0"/>
    <w:p w14:paraId="52FB236F" w14:textId="77777777" w:rsidR="00D216E0" w:rsidRPr="00AC6FC6" w:rsidRDefault="00D216E0" w:rsidP="00D216E0">
      <w:r>
        <w:lastRenderedPageBreak/>
        <w:br/>
      </w:r>
      <w:commentRangeStart w:id="3"/>
      <w:commentRangeStart w:id="4"/>
      <w:r>
        <w:rPr>
          <w:noProof/>
        </w:rPr>
        <w:drawing>
          <wp:inline distT="0" distB="0" distL="0" distR="0" wp14:anchorId="706337B0" wp14:editId="295C6003">
            <wp:extent cx="5617029" cy="7945503"/>
            <wp:effectExtent l="0" t="0" r="0" b="5080"/>
            <wp:docPr id="1584724341" name="Picture 3"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24341" name="Picture 3" descr="A screen shot of a 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620939" cy="7951034"/>
                    </a:xfrm>
                    <a:prstGeom prst="rect">
                      <a:avLst/>
                    </a:prstGeom>
                  </pic:spPr>
                </pic:pic>
              </a:graphicData>
            </a:graphic>
          </wp:inline>
        </w:drawing>
      </w:r>
      <w:commentRangeEnd w:id="4"/>
      <w:r w:rsidRPr="00AC6FC6">
        <w:rPr>
          <w:rStyle w:val="CommentReference"/>
          <w:sz w:val="24"/>
          <w:szCs w:val="24"/>
        </w:rPr>
        <w:commentReference w:id="4"/>
      </w:r>
      <w:commentRangeEnd w:id="3"/>
      <w:r w:rsidRPr="00AC6FC6">
        <w:rPr>
          <w:rStyle w:val="CommentReference"/>
          <w:sz w:val="24"/>
          <w:szCs w:val="24"/>
        </w:rPr>
        <w:commentReference w:id="3"/>
      </w:r>
    </w:p>
    <w:p w14:paraId="078B49DF" w14:textId="77777777" w:rsidR="00D216E0" w:rsidRDefault="00D216E0" w:rsidP="00D216E0">
      <w:pPr>
        <w:pStyle w:val="Heading3"/>
      </w:pPr>
      <w:r w:rsidRPr="00140E28">
        <w:br w:type="page"/>
      </w:r>
      <w:r w:rsidRPr="002D79C0">
        <w:lastRenderedPageBreak/>
        <w:t>4.3</w:t>
      </w:r>
      <w:r w:rsidRPr="002D79C0">
        <w:t> </w:t>
      </w:r>
      <w:r w:rsidRPr="002D79C0">
        <w:t>Partnership</w:t>
      </w:r>
      <w:r w:rsidRPr="002D79C0">
        <w:noBreakHyphen/>
        <w:t>Strength indices</w:t>
      </w:r>
    </w:p>
    <w:p w14:paraId="059D9CBF" w14:textId="77777777" w:rsidR="00D216E0" w:rsidRPr="00D601A5" w:rsidRDefault="00D216E0" w:rsidP="00D216E0">
      <w:r w:rsidRPr="00141C0C">
        <w:t xml:space="preserve">Assesses the </w:t>
      </w:r>
      <w:r w:rsidRPr="00141C0C">
        <w:rPr>
          <w:b/>
          <w:bCs/>
        </w:rPr>
        <w:t>strategic value of international partnerships</w:t>
      </w:r>
      <w:r w:rsidRPr="00141C0C">
        <w:t xml:space="preserve"> in each sector, indicating how well-positioned the U.S. is to Friendshore (partner with allies)</w:t>
      </w:r>
      <w:r>
        <w:t>, Develop (create stronger partners), or Trade</w:t>
      </w:r>
      <w:r w:rsidRPr="00141C0C" w:rsidDel="00D601A5">
        <w:t xml:space="preserve"> </w:t>
      </w:r>
      <w:r>
        <w:t>(</w:t>
      </w:r>
      <w:r w:rsidRPr="00141C0C">
        <w:t>shape global markets</w:t>
      </w:r>
      <w:r>
        <w:t>)</w:t>
      </w:r>
      <w:r w:rsidRPr="00141C0C">
        <w:t xml:space="preserve">. This index combines metrics such as U.S. trade with allied countries (import/export volumes and growth for the given technology), co-investment flows, and the presence of bilateral energy agreements or partnerships. </w:t>
      </w:r>
      <w:r>
        <w:t>The index has three sub-components, together merged into a final strength index:</w:t>
      </w:r>
    </w:p>
    <w:p w14:paraId="0A930FBA" w14:textId="77777777" w:rsidR="00D216E0" w:rsidRDefault="00D216E0" w:rsidP="00D216E0">
      <w:pPr>
        <w:numPr>
          <w:ilvl w:val="0"/>
          <w:numId w:val="4"/>
        </w:numPr>
      </w:pPr>
      <w:r w:rsidRPr="002D79C0">
        <w:rPr>
          <w:b/>
          <w:bCs/>
        </w:rPr>
        <w:t>Friendshor</w:t>
      </w:r>
      <w:r>
        <w:rPr>
          <w:b/>
          <w:bCs/>
        </w:rPr>
        <w:t>ing</w:t>
      </w:r>
      <w:r w:rsidRPr="002D79C0">
        <w:rPr>
          <w:b/>
          <w:bCs/>
        </w:rPr>
        <w:t xml:space="preserve"> index</w:t>
      </w:r>
      <w:r w:rsidRPr="002D79C0">
        <w:t xml:space="preserve"> (</w:t>
      </w:r>
      <w:r>
        <w:t>“Safer</w:t>
      </w:r>
      <w:r w:rsidRPr="002D79C0">
        <w:t>)</w:t>
      </w:r>
    </w:p>
    <w:p w14:paraId="46CEF8DC" w14:textId="77777777" w:rsidR="00D216E0" w:rsidRPr="00A036E1" w:rsidRDefault="00D216E0" w:rsidP="00D216E0">
      <w:pPr>
        <w:numPr>
          <w:ilvl w:val="1"/>
          <w:numId w:val="4"/>
        </w:numPr>
      </w:pPr>
      <w:r w:rsidRPr="00A4457B">
        <w:t>Inde</w:t>
      </w:r>
      <w:r>
        <w:t>x capturing the friendshoring opportunity, based on imports by sector, local energy security index, partner economic opportunity index, high-level local-partner investment relationship, and adjusting by sectoral climate impacts depending on partner climate policy ambition.</w:t>
      </w:r>
    </w:p>
    <w:p w14:paraId="0D2DE2CC" w14:textId="77777777" w:rsidR="00D216E0" w:rsidRDefault="00D216E0" w:rsidP="00D216E0">
      <w:pPr>
        <w:numPr>
          <w:ilvl w:val="0"/>
          <w:numId w:val="4"/>
        </w:numPr>
      </w:pPr>
      <w:r w:rsidRPr="00A036E1">
        <w:rPr>
          <w:b/>
          <w:bCs/>
        </w:rPr>
        <w:t>Export</w:t>
      </w:r>
      <w:r w:rsidRPr="00A036E1">
        <w:rPr>
          <w:b/>
          <w:bCs/>
        </w:rPr>
        <w:noBreakHyphen/>
        <w:t>opportunity index</w:t>
      </w:r>
      <w:r w:rsidRPr="002D79C0">
        <w:t xml:space="preserve"> (</w:t>
      </w:r>
      <w:r>
        <w:t>“More Prosperous</w:t>
      </w:r>
      <w:r w:rsidRPr="002D79C0">
        <w:t>)</w:t>
      </w:r>
    </w:p>
    <w:p w14:paraId="34625B8A" w14:textId="77777777" w:rsidR="00D216E0" w:rsidRDefault="00D216E0" w:rsidP="00D216E0">
      <w:pPr>
        <w:numPr>
          <w:ilvl w:val="1"/>
          <w:numId w:val="4"/>
        </w:numPr>
      </w:pPr>
      <w:r w:rsidRPr="00A036E1">
        <w:t>Index capturing</w:t>
      </w:r>
      <w:r>
        <w:t xml:space="preserve"> the energy export potential, based on exports by sector, the local economic opportunity index, partner energy security index, and adjusted by sectoral climate impacts depending on partner climate policy ambition.</w:t>
      </w:r>
    </w:p>
    <w:p w14:paraId="3C5E9626" w14:textId="77777777" w:rsidR="00D216E0" w:rsidRDefault="00D216E0" w:rsidP="00D216E0">
      <w:pPr>
        <w:numPr>
          <w:ilvl w:val="0"/>
          <w:numId w:val="4"/>
        </w:numPr>
      </w:pPr>
      <w:r w:rsidRPr="00397090">
        <w:rPr>
          <w:b/>
          <w:bCs/>
        </w:rPr>
        <w:t>Development Need Index</w:t>
      </w:r>
      <w:r>
        <w:t xml:space="preserve"> (“Stronger”)</w:t>
      </w:r>
    </w:p>
    <w:p w14:paraId="13B3018E" w14:textId="77777777" w:rsidR="00D216E0" w:rsidRPr="00397090" w:rsidRDefault="00D216E0" w:rsidP="00D216E0">
      <w:pPr>
        <w:numPr>
          <w:ilvl w:val="1"/>
          <w:numId w:val="4"/>
        </w:numPr>
      </w:pPr>
      <w:r w:rsidRPr="00397090">
        <w:t>Index c</w:t>
      </w:r>
      <w:r>
        <w:t>apturing the development need while accounting for local economic opportunities, based on World Bank Development Indicators, World Bank Doing Business Rankings, partner energy security index, local Export-opportunity index, local economic opportunity index, local energy security index. Not adjusted for climate considerations.</w:t>
      </w:r>
    </w:p>
    <w:p w14:paraId="554F5E94" w14:textId="77777777" w:rsidR="00D216E0" w:rsidRDefault="00D216E0" w:rsidP="00D216E0">
      <w:pPr>
        <w:numPr>
          <w:ilvl w:val="0"/>
          <w:numId w:val="4"/>
        </w:numPr>
      </w:pPr>
      <w:r w:rsidRPr="002D79C0">
        <w:rPr>
          <w:b/>
          <w:bCs/>
        </w:rPr>
        <w:t>Country</w:t>
      </w:r>
      <w:r w:rsidRPr="002D79C0">
        <w:rPr>
          <w:b/>
          <w:bCs/>
        </w:rPr>
        <w:noBreakHyphen/>
        <w:t>level Partnership</w:t>
      </w:r>
      <w:r w:rsidRPr="002D79C0">
        <w:rPr>
          <w:b/>
          <w:bCs/>
        </w:rPr>
        <w:noBreakHyphen/>
        <w:t>Strength Index (PSI)</w:t>
      </w:r>
    </w:p>
    <w:p w14:paraId="60EC443B" w14:textId="77777777" w:rsidR="00D216E0" w:rsidRDefault="00D216E0" w:rsidP="00D216E0">
      <w:pPr>
        <w:numPr>
          <w:ilvl w:val="1"/>
          <w:numId w:val="4"/>
        </w:numPr>
      </w:pPr>
      <w:r>
        <w:t xml:space="preserve">Overall partnership strength index capturing all three indices above at </w:t>
      </w:r>
      <w:r w:rsidRPr="002D79C0">
        <w:t>0.40</w:t>
      </w:r>
      <w:r w:rsidRPr="002D79C0">
        <w:rPr>
          <w:rFonts w:ascii="Arial" w:hAnsi="Arial" w:cs="Arial"/>
        </w:rPr>
        <w:t> </w:t>
      </w:r>
      <w:r w:rsidRPr="002D79C0">
        <w:rPr>
          <w:rFonts w:ascii="Aptos" w:hAnsi="Aptos" w:cs="Aptos"/>
        </w:rPr>
        <w:t>×</w:t>
      </w:r>
      <w:r w:rsidRPr="002D79C0">
        <w:rPr>
          <w:rFonts w:ascii="Arial" w:hAnsi="Arial" w:cs="Arial"/>
        </w:rPr>
        <w:t> </w:t>
      </w:r>
      <w:r w:rsidRPr="002D79C0">
        <w:t>Friend</w:t>
      </w:r>
      <w:r w:rsidRPr="002D79C0">
        <w:noBreakHyphen/>
        <w:t>shore</w:t>
      </w:r>
      <w:r w:rsidRPr="002D79C0">
        <w:rPr>
          <w:rFonts w:ascii="Arial" w:hAnsi="Arial" w:cs="Arial"/>
        </w:rPr>
        <w:t> </w:t>
      </w:r>
      <w:r w:rsidRPr="002D79C0">
        <w:t>score + 0.40</w:t>
      </w:r>
      <w:r w:rsidRPr="002D79C0">
        <w:rPr>
          <w:rFonts w:ascii="Arial" w:hAnsi="Arial" w:cs="Arial"/>
        </w:rPr>
        <w:t> </w:t>
      </w:r>
      <w:r w:rsidRPr="002D79C0">
        <w:rPr>
          <w:rFonts w:ascii="Aptos" w:hAnsi="Aptos" w:cs="Aptos"/>
        </w:rPr>
        <w:t>×</w:t>
      </w:r>
      <w:r w:rsidRPr="002D79C0">
        <w:rPr>
          <w:rFonts w:ascii="Arial" w:hAnsi="Arial" w:cs="Arial"/>
        </w:rPr>
        <w:t> </w:t>
      </w:r>
      <w:r w:rsidRPr="002D79C0">
        <w:t>Export</w:t>
      </w:r>
      <w:r w:rsidRPr="002D79C0">
        <w:noBreakHyphen/>
        <w:t>opportunity</w:t>
      </w:r>
      <w:r w:rsidRPr="002D79C0">
        <w:rPr>
          <w:rFonts w:ascii="Arial" w:hAnsi="Arial" w:cs="Arial"/>
        </w:rPr>
        <w:t> </w:t>
      </w:r>
      <w:r w:rsidRPr="002D79C0">
        <w:t>score + 0.20</w:t>
      </w:r>
      <w:r w:rsidRPr="002D79C0">
        <w:rPr>
          <w:rFonts w:ascii="Arial" w:hAnsi="Arial" w:cs="Arial"/>
        </w:rPr>
        <w:t> </w:t>
      </w:r>
      <w:r w:rsidRPr="002D79C0">
        <w:rPr>
          <w:rFonts w:ascii="Aptos" w:hAnsi="Aptos" w:cs="Aptos"/>
        </w:rPr>
        <w:t>×</w:t>
      </w:r>
      <w:r w:rsidRPr="002D79C0">
        <w:rPr>
          <w:rFonts w:ascii="Arial" w:hAnsi="Arial" w:cs="Arial"/>
        </w:rPr>
        <w:t> </w:t>
      </w:r>
      <w:r>
        <w:t xml:space="preserve">Development score. </w:t>
      </w:r>
    </w:p>
    <w:p w14:paraId="63027DEC" w14:textId="77777777" w:rsidR="00D216E0" w:rsidRPr="002D79C0" w:rsidRDefault="00AC323E" w:rsidP="00D216E0">
      <w:r>
        <w:rPr>
          <w:noProof/>
        </w:rPr>
        <w:pict w14:anchorId="2CCFF5A7">
          <v:rect id="_x0000_i1030" alt="" style="width:468pt;height:.05pt;mso-width-percent:0;mso-height-percent:0;mso-width-percent:0;mso-height-percent:0" o:hralign="center" o:hrstd="t" o:hr="t" fillcolor="#a0a0a0" stroked="f"/>
        </w:pict>
      </w:r>
    </w:p>
    <w:p w14:paraId="71A5B58D" w14:textId="77777777" w:rsidR="00D216E0" w:rsidRDefault="00D216E0" w:rsidP="00D216E0">
      <w:pPr>
        <w:rPr>
          <w:b/>
          <w:bCs/>
        </w:rPr>
      </w:pPr>
      <w:r>
        <w:rPr>
          <w:b/>
          <w:bCs/>
        </w:rPr>
        <w:br w:type="page"/>
      </w:r>
    </w:p>
    <w:tbl>
      <w:tblPr>
        <w:tblStyle w:val="GridTable1Light-Accent2"/>
        <w:tblW w:w="10489" w:type="dxa"/>
        <w:tblLook w:val="04A0" w:firstRow="1" w:lastRow="0" w:firstColumn="1" w:lastColumn="0" w:noHBand="0" w:noVBand="1"/>
      </w:tblPr>
      <w:tblGrid>
        <w:gridCol w:w="1373"/>
        <w:gridCol w:w="1578"/>
        <w:gridCol w:w="1593"/>
        <w:gridCol w:w="3044"/>
        <w:gridCol w:w="3037"/>
      </w:tblGrid>
      <w:tr w:rsidR="00D216E0" w:rsidRPr="006B339C" w14:paraId="171650CB"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2D4DC" w14:textId="77777777" w:rsidR="00D216E0" w:rsidRPr="006B339C" w:rsidRDefault="00D216E0" w:rsidP="00C50100">
            <w:pPr>
              <w:spacing w:after="160" w:line="278" w:lineRule="auto"/>
            </w:pPr>
            <w:r w:rsidRPr="006B339C">
              <w:lastRenderedPageBreak/>
              <w:t>Weight in pillar†</w:t>
            </w:r>
          </w:p>
        </w:tc>
        <w:tc>
          <w:tcPr>
            <w:tcW w:w="0" w:type="auto"/>
            <w:hideMark/>
          </w:tcPr>
          <w:p w14:paraId="221CF8D4" w14:textId="77777777" w:rsidR="00D216E0" w:rsidRPr="006B339C" w:rsidRDefault="00D216E0" w:rsidP="00C50100">
            <w:pPr>
              <w:spacing w:after="160" w:line="278" w:lineRule="auto"/>
              <w:cnfStyle w:val="100000000000" w:firstRow="1" w:lastRow="0" w:firstColumn="0" w:lastColumn="0" w:oddVBand="0" w:evenVBand="0" w:oddHBand="0" w:evenHBand="0" w:firstRowFirstColumn="0" w:firstRowLastColumn="0" w:lastRowFirstColumn="0" w:lastRowLastColumn="0"/>
            </w:pPr>
            <w:r w:rsidRPr="006B339C">
              <w:t>Sub-index (category)</w:t>
            </w:r>
          </w:p>
        </w:tc>
        <w:tc>
          <w:tcPr>
            <w:tcW w:w="2176" w:type="dxa"/>
            <w:hideMark/>
          </w:tcPr>
          <w:p w14:paraId="4C82AF10" w14:textId="77777777" w:rsidR="00D216E0" w:rsidRPr="006B339C" w:rsidRDefault="00D216E0" w:rsidP="00C50100">
            <w:pPr>
              <w:spacing w:after="160" w:line="278" w:lineRule="auto"/>
              <w:cnfStyle w:val="100000000000" w:firstRow="1" w:lastRow="0" w:firstColumn="0" w:lastColumn="0" w:oddVBand="0" w:evenVBand="0" w:oddHBand="0" w:evenHBand="0" w:firstRowFirstColumn="0" w:firstRowLastColumn="0" w:lastRowFirstColumn="0" w:lastRowLastColumn="0"/>
            </w:pPr>
            <w:r w:rsidRPr="006B339C">
              <w:t>What is measured</w:t>
            </w:r>
          </w:p>
        </w:tc>
        <w:tc>
          <w:tcPr>
            <w:tcW w:w="2703" w:type="dxa"/>
            <w:hideMark/>
          </w:tcPr>
          <w:p w14:paraId="4C82CEAE" w14:textId="77777777" w:rsidR="00D216E0" w:rsidRPr="006B339C" w:rsidRDefault="00D216E0" w:rsidP="00C50100">
            <w:pPr>
              <w:spacing w:after="160" w:line="278" w:lineRule="auto"/>
              <w:cnfStyle w:val="100000000000" w:firstRow="1" w:lastRow="0" w:firstColumn="0" w:lastColumn="0" w:oddVBand="0" w:evenVBand="0" w:oddHBand="0" w:evenHBand="0" w:firstRowFirstColumn="0" w:firstRowLastColumn="0" w:lastRowFirstColumn="0" w:lastRowLastColumn="0"/>
            </w:pPr>
            <w:r w:rsidRPr="006B339C">
              <w:t>Normalization &amp; aggregation</w:t>
            </w:r>
          </w:p>
        </w:tc>
        <w:tc>
          <w:tcPr>
            <w:tcW w:w="2851" w:type="dxa"/>
            <w:hideMark/>
          </w:tcPr>
          <w:p w14:paraId="513FC931" w14:textId="77777777" w:rsidR="00D216E0" w:rsidRPr="006B339C" w:rsidRDefault="00D216E0" w:rsidP="00C50100">
            <w:pPr>
              <w:spacing w:after="160" w:line="278" w:lineRule="auto"/>
              <w:cnfStyle w:val="100000000000" w:firstRow="1" w:lastRow="0" w:firstColumn="0" w:lastColumn="0" w:oddVBand="0" w:evenVBand="0" w:oddHBand="0" w:evenHBand="0" w:firstRowFirstColumn="0" w:firstRowLastColumn="0" w:lastRowFirstColumn="0" w:lastRowLastColumn="0"/>
            </w:pPr>
            <w:r w:rsidRPr="006B339C">
              <w:t>Key data source(s)</w:t>
            </w:r>
          </w:p>
        </w:tc>
      </w:tr>
      <w:tr w:rsidR="00D216E0" w:rsidRPr="006B339C" w14:paraId="310D32E6"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E26361D" w14:textId="77777777" w:rsidR="00D216E0" w:rsidRPr="006B339C" w:rsidRDefault="00D216E0" w:rsidP="00C50100">
            <w:pPr>
              <w:spacing w:after="160" w:line="278" w:lineRule="auto"/>
              <w:rPr>
                <w:sz w:val="20"/>
                <w:szCs w:val="20"/>
              </w:rPr>
            </w:pPr>
            <w:r w:rsidRPr="006B339C">
              <w:rPr>
                <w:sz w:val="20"/>
                <w:szCs w:val="20"/>
              </w:rPr>
              <w:t>1 (Safer pillar)</w:t>
            </w:r>
          </w:p>
        </w:tc>
        <w:tc>
          <w:tcPr>
            <w:tcW w:w="0" w:type="auto"/>
            <w:hideMark/>
          </w:tcPr>
          <w:p w14:paraId="2AF6E37C"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U.S. import trade exposure</w:t>
            </w:r>
          </w:p>
        </w:tc>
        <w:tc>
          <w:tcPr>
            <w:tcW w:w="2176" w:type="dxa"/>
            <w:hideMark/>
          </w:tcPr>
          <w:p w14:paraId="5C81C391"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12-month moving-average value of U.S. imports of each HS-6 clean-energy product from partner </w:t>
            </w:r>
            <w:r w:rsidRPr="006B339C">
              <w:rPr>
                <w:i/>
                <w:iCs/>
                <w:sz w:val="20"/>
                <w:szCs w:val="20"/>
              </w:rPr>
              <w:t>i</w:t>
            </w:r>
            <w:r w:rsidRPr="006B339C">
              <w:rPr>
                <w:sz w:val="20"/>
                <w:szCs w:val="20"/>
              </w:rPr>
              <w:t>; growth since 2020.</w:t>
            </w:r>
          </w:p>
        </w:tc>
        <w:tc>
          <w:tcPr>
            <w:tcW w:w="2703" w:type="dxa"/>
            <w:hideMark/>
          </w:tcPr>
          <w:p w14:paraId="7938825D" w14:textId="77777777" w:rsidR="00D216E0" w:rsidRDefault="00D216E0" w:rsidP="00D216E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sz w:val="20"/>
                <w:szCs w:val="20"/>
              </w:rPr>
            </w:pPr>
            <w:r w:rsidRPr="00875551">
              <w:rPr>
                <w:sz w:val="20"/>
                <w:szCs w:val="20"/>
              </w:rPr>
              <w:t>import_12mma and import_index_20 each → 0-1 with median_scurve(γ = 0.5).</w:t>
            </w:r>
          </w:p>
          <w:p w14:paraId="07EE312F" w14:textId="77777777" w:rsidR="00D216E0" w:rsidRDefault="00D216E0" w:rsidP="00D216E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sz w:val="20"/>
                <w:szCs w:val="20"/>
              </w:rPr>
            </w:pPr>
            <w:r w:rsidRPr="00875551">
              <w:rPr>
                <w:sz w:val="20"/>
                <w:szCs w:val="20"/>
              </w:rPr>
              <w:t xml:space="preserve">us_import_index &amp; us_import_growth_index averaged </w:t>
            </w:r>
            <w:r w:rsidRPr="00875551">
              <w:rPr>
                <w:rFonts w:ascii="Cambria Math" w:hAnsi="Cambria Math" w:cs="Cambria Math"/>
                <w:sz w:val="20"/>
                <w:szCs w:val="20"/>
              </w:rPr>
              <w:t>⇒</w:t>
            </w:r>
            <w:r w:rsidRPr="00875551">
              <w:rPr>
                <w:sz w:val="20"/>
                <w:szCs w:val="20"/>
              </w:rPr>
              <w:t xml:space="preserve"> us_trade_index.</w:t>
            </w:r>
          </w:p>
          <w:p w14:paraId="57E1943E" w14:textId="77777777" w:rsidR="00D216E0" w:rsidRPr="00875551" w:rsidRDefault="00D216E0" w:rsidP="00D216E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sz w:val="20"/>
                <w:szCs w:val="20"/>
              </w:rPr>
            </w:pPr>
            <w:r w:rsidRPr="00875551">
              <w:rPr>
                <w:sz w:val="20"/>
                <w:szCs w:val="20"/>
              </w:rPr>
              <w:t>us_trade_index re-scurved to keep cross-country comparability.</w:t>
            </w:r>
          </w:p>
        </w:tc>
        <w:tc>
          <w:tcPr>
            <w:tcW w:w="2851" w:type="dxa"/>
            <w:hideMark/>
          </w:tcPr>
          <w:p w14:paraId="0400E2E6"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U.S. Census International Trade API (timeseries/intltrade/imports/hs, 2020-01→2025-02); HS-code list from energy_codes.</w:t>
            </w:r>
          </w:p>
        </w:tc>
      </w:tr>
      <w:tr w:rsidR="00D216E0" w:rsidRPr="006B339C" w14:paraId="21BFA0A6"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626674E0" w14:textId="77777777" w:rsidR="00D216E0" w:rsidRPr="006B339C" w:rsidRDefault="00D216E0" w:rsidP="00C50100">
            <w:pPr>
              <w:spacing w:after="160" w:line="278" w:lineRule="auto"/>
              <w:rPr>
                <w:sz w:val="20"/>
                <w:szCs w:val="20"/>
              </w:rPr>
            </w:pPr>
            <w:r w:rsidRPr="006B339C">
              <w:rPr>
                <w:sz w:val="20"/>
                <w:szCs w:val="20"/>
              </w:rPr>
              <w:t>1 (Safer)</w:t>
            </w:r>
          </w:p>
        </w:tc>
        <w:tc>
          <w:tcPr>
            <w:tcW w:w="0" w:type="auto"/>
            <w:hideMark/>
          </w:tcPr>
          <w:p w14:paraId="0F9E8E9E"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Energy-security gap</w:t>
            </w:r>
          </w:p>
        </w:tc>
        <w:tc>
          <w:tcPr>
            <w:tcW w:w="2176" w:type="dxa"/>
            <w:hideMark/>
          </w:tcPr>
          <w:p w14:paraId="50D203B0"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Degree to which the United States is </w:t>
            </w:r>
            <w:r w:rsidRPr="006B339C">
              <w:rPr>
                <w:i/>
                <w:iCs/>
                <w:sz w:val="20"/>
                <w:szCs w:val="20"/>
              </w:rPr>
              <w:t>insecure</w:t>
            </w:r>
            <w:r w:rsidRPr="006B339C">
              <w:rPr>
                <w:sz w:val="20"/>
                <w:szCs w:val="20"/>
              </w:rPr>
              <w:t xml:space="preserve"> in each tech-segment (1 – U.S. energy-security score).</w:t>
            </w:r>
          </w:p>
        </w:tc>
        <w:tc>
          <w:tcPr>
            <w:tcW w:w="2703" w:type="dxa"/>
            <w:hideMark/>
          </w:tcPr>
          <w:p w14:paraId="23E44AEF"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Partner inherits U.S. “Overall Energy Security Index” for the same tech × supply_chain; values → 0-1 via median_scurve.</w:t>
            </w:r>
          </w:p>
        </w:tc>
        <w:tc>
          <w:tcPr>
            <w:tcW w:w="2851" w:type="dxa"/>
            <w:hideMark/>
          </w:tcPr>
          <w:p w14:paraId="081B7E0E"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Internal Energy Security composite (built earlier in report).</w:t>
            </w:r>
          </w:p>
        </w:tc>
      </w:tr>
      <w:tr w:rsidR="00D216E0" w:rsidRPr="006B339C" w14:paraId="66AA7558"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F82D7AC" w14:textId="77777777" w:rsidR="00D216E0" w:rsidRPr="006B339C" w:rsidRDefault="00D216E0" w:rsidP="00C50100">
            <w:pPr>
              <w:spacing w:after="160" w:line="278" w:lineRule="auto"/>
              <w:rPr>
                <w:sz w:val="20"/>
                <w:szCs w:val="20"/>
              </w:rPr>
            </w:pPr>
            <w:r w:rsidRPr="006B339C">
              <w:rPr>
                <w:sz w:val="20"/>
                <w:szCs w:val="20"/>
              </w:rPr>
              <w:t>1 (Safer)</w:t>
            </w:r>
          </w:p>
        </w:tc>
        <w:tc>
          <w:tcPr>
            <w:tcW w:w="0" w:type="auto"/>
            <w:hideMark/>
          </w:tcPr>
          <w:p w14:paraId="6998B361"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Economic-opportunity (partner)</w:t>
            </w:r>
          </w:p>
        </w:tc>
        <w:tc>
          <w:tcPr>
            <w:tcW w:w="2176" w:type="dxa"/>
            <w:hideMark/>
          </w:tcPr>
          <w:p w14:paraId="22267E89"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Partner’s own “Overall Economic Opportunity Index” in the same tech-segment.</w:t>
            </w:r>
          </w:p>
        </w:tc>
        <w:tc>
          <w:tcPr>
            <w:tcW w:w="2703" w:type="dxa"/>
            <w:hideMark/>
          </w:tcPr>
          <w:p w14:paraId="39D10FA2"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0-1 via median_scurve.</w:t>
            </w:r>
          </w:p>
        </w:tc>
        <w:tc>
          <w:tcPr>
            <w:tcW w:w="2851" w:type="dxa"/>
            <w:hideMark/>
          </w:tcPr>
          <w:p w14:paraId="245186BB"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Internal Economic Opportunity composite.</w:t>
            </w:r>
          </w:p>
        </w:tc>
      </w:tr>
      <w:tr w:rsidR="00D216E0" w:rsidRPr="006B339C" w14:paraId="6BB47B1C"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464A0C3" w14:textId="77777777" w:rsidR="00D216E0" w:rsidRPr="006B339C" w:rsidRDefault="00D216E0" w:rsidP="00C50100">
            <w:pPr>
              <w:spacing w:after="160" w:line="278" w:lineRule="auto"/>
              <w:rPr>
                <w:sz w:val="20"/>
                <w:szCs w:val="20"/>
              </w:rPr>
            </w:pPr>
            <w:r w:rsidRPr="006B339C">
              <w:rPr>
                <w:sz w:val="20"/>
                <w:szCs w:val="20"/>
              </w:rPr>
              <w:t>1 (Safer)</w:t>
            </w:r>
          </w:p>
        </w:tc>
        <w:tc>
          <w:tcPr>
            <w:tcW w:w="0" w:type="auto"/>
            <w:hideMark/>
          </w:tcPr>
          <w:p w14:paraId="137832FB"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U.S. outbound investment footprint</w:t>
            </w:r>
          </w:p>
        </w:tc>
        <w:tc>
          <w:tcPr>
            <w:tcW w:w="2176" w:type="dxa"/>
            <w:hideMark/>
          </w:tcPr>
          <w:p w14:paraId="05488E5F"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Size &amp; share of U.S. FDI in partner along supply-chain segment (Up/Mid/Down).</w:t>
            </w:r>
          </w:p>
        </w:tc>
        <w:tc>
          <w:tcPr>
            <w:tcW w:w="2703" w:type="dxa"/>
            <w:hideMark/>
          </w:tcPr>
          <w:p w14:paraId="4B8A750E" w14:textId="77777777" w:rsidR="00D216E0"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For each segment: </w:t>
            </w:r>
          </w:p>
          <w:p w14:paraId="19B969D0" w14:textId="77777777" w:rsidR="00D216E0" w:rsidRDefault="00D216E0" w:rsidP="00D216E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0"/>
                <w:szCs w:val="20"/>
              </w:rPr>
            </w:pPr>
            <w:r w:rsidRPr="00875551">
              <w:rPr>
                <w:sz w:val="20"/>
                <w:szCs w:val="20"/>
              </w:rPr>
              <w:t xml:space="preserve">size_index = scurve(dollar stock) </w:t>
            </w:r>
          </w:p>
          <w:p w14:paraId="791D0E3A" w14:textId="77777777" w:rsidR="00D216E0" w:rsidRDefault="00D216E0" w:rsidP="00D216E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0"/>
                <w:szCs w:val="20"/>
              </w:rPr>
            </w:pPr>
            <w:r w:rsidRPr="00875551">
              <w:rPr>
                <w:sz w:val="20"/>
                <w:szCs w:val="20"/>
              </w:rPr>
              <w:t>share_index = scurve(% of global)</w:t>
            </w:r>
          </w:p>
          <w:p w14:paraId="6AB7B3B7" w14:textId="77777777" w:rsidR="00D216E0" w:rsidRPr="00875551" w:rsidRDefault="00D216E0" w:rsidP="00D216E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0"/>
                <w:szCs w:val="20"/>
              </w:rPr>
            </w:pPr>
            <w:r w:rsidRPr="00875551">
              <w:rPr>
                <w:sz w:val="20"/>
                <w:szCs w:val="20"/>
              </w:rPr>
              <w:t xml:space="preserve"> Segment score = mean(size_index, share_index) ; then scurved again.</w:t>
            </w:r>
          </w:p>
        </w:tc>
        <w:tc>
          <w:tcPr>
            <w:tcW w:w="2851" w:type="dxa"/>
            <w:hideMark/>
          </w:tcPr>
          <w:p w14:paraId="24765C02"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BEA “U.S. Outward Direct Investment” XLSX (sheet 7).</w:t>
            </w:r>
          </w:p>
        </w:tc>
      </w:tr>
      <w:tr w:rsidR="00D216E0" w:rsidRPr="006B339C" w14:paraId="6CB6C846"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05E3DED5" w14:textId="77777777" w:rsidR="00D216E0" w:rsidRPr="006B339C" w:rsidRDefault="00D216E0" w:rsidP="00C50100">
            <w:pPr>
              <w:spacing w:after="160" w:line="278" w:lineRule="auto"/>
              <w:rPr>
                <w:sz w:val="20"/>
                <w:szCs w:val="20"/>
              </w:rPr>
            </w:pPr>
            <w:r w:rsidRPr="006B339C">
              <w:rPr>
                <w:sz w:val="20"/>
                <w:szCs w:val="20"/>
              </w:rPr>
              <w:t>-0.2 (Safer adj.)</w:t>
            </w:r>
          </w:p>
        </w:tc>
        <w:tc>
          <w:tcPr>
            <w:tcW w:w="0" w:type="auto"/>
            <w:hideMark/>
          </w:tcPr>
          <w:p w14:paraId="11E83606"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Climate-penalty</w:t>
            </w:r>
          </w:p>
        </w:tc>
        <w:tc>
          <w:tcPr>
            <w:tcW w:w="2176" w:type="dxa"/>
            <w:hideMark/>
          </w:tcPr>
          <w:p w14:paraId="146D30D7"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Punishes dirty tech </w:t>
            </w:r>
            <w:r w:rsidRPr="006B339C">
              <w:rPr>
                <w:i/>
                <w:iCs/>
                <w:sz w:val="20"/>
                <w:szCs w:val="20"/>
              </w:rPr>
              <w:t>when</w:t>
            </w:r>
            <w:r w:rsidRPr="006B339C">
              <w:rPr>
                <w:sz w:val="20"/>
                <w:szCs w:val="20"/>
              </w:rPr>
              <w:t xml:space="preserve"> partner has strong climate policy.</w:t>
            </w:r>
          </w:p>
        </w:tc>
        <w:tc>
          <w:tcPr>
            <w:tcW w:w="2703" w:type="dxa"/>
            <w:hideMark/>
          </w:tcPr>
          <w:p w14:paraId="3BF76579"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penalty = (1 − ghg_index) × climate_policy_index; deducted from base composite (us_friendshore_index_unadj − 0.2 × penalty).</w:t>
            </w:r>
          </w:p>
        </w:tc>
        <w:tc>
          <w:tcPr>
            <w:tcW w:w="2851" w:type="dxa"/>
            <w:hideMark/>
          </w:tcPr>
          <w:p w14:paraId="1CFCA3BB" w14:textId="77777777" w:rsidR="00D216E0"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IPCC AR5 WG III median LCA intensities → ghg_index (min-max reversed).</w:t>
            </w:r>
          </w:p>
          <w:p w14:paraId="23220F6F"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Climate Action Tracker ratings → climate_policy_index (0.25 – 1).</w:t>
            </w:r>
          </w:p>
        </w:tc>
      </w:tr>
      <w:tr w:rsidR="00D216E0" w:rsidRPr="006B339C" w14:paraId="00F09E57"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B2E130D" w14:textId="77777777" w:rsidR="00D216E0" w:rsidRPr="006B339C" w:rsidRDefault="00D216E0" w:rsidP="00C50100">
            <w:pPr>
              <w:spacing w:after="160" w:line="278" w:lineRule="auto"/>
              <w:rPr>
                <w:sz w:val="20"/>
                <w:szCs w:val="20"/>
              </w:rPr>
            </w:pPr>
            <w:r w:rsidRPr="006B339C">
              <w:rPr>
                <w:sz w:val="20"/>
                <w:szCs w:val="20"/>
              </w:rPr>
              <w:lastRenderedPageBreak/>
              <w:t>—</w:t>
            </w:r>
          </w:p>
        </w:tc>
        <w:tc>
          <w:tcPr>
            <w:tcW w:w="0" w:type="auto"/>
            <w:hideMark/>
          </w:tcPr>
          <w:p w14:paraId="719DA9AB"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US Friend-shore Index (“Safer”)</w:t>
            </w:r>
          </w:p>
        </w:tc>
        <w:tc>
          <w:tcPr>
            <w:tcW w:w="2176" w:type="dxa"/>
            <w:hideMark/>
          </w:tcPr>
          <w:p w14:paraId="4882FE0E"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Risk-adjusted value of sourcing a tech from partner </w:t>
            </w:r>
            <w:r w:rsidRPr="006B339C">
              <w:rPr>
                <w:i/>
                <w:iCs/>
                <w:sz w:val="20"/>
                <w:szCs w:val="20"/>
              </w:rPr>
              <w:t>i</w:t>
            </w:r>
            <w:r w:rsidRPr="006B339C">
              <w:rPr>
                <w:sz w:val="20"/>
                <w:szCs w:val="20"/>
              </w:rPr>
              <w:t>.</w:t>
            </w:r>
          </w:p>
        </w:tc>
        <w:tc>
          <w:tcPr>
            <w:tcW w:w="2703" w:type="dxa"/>
            <w:hideMark/>
          </w:tcPr>
          <w:p w14:paraId="64593F84"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Base composite = mean(four 0-1 sub-indices above); penalty applied; final score scurved.</w:t>
            </w:r>
          </w:p>
        </w:tc>
        <w:tc>
          <w:tcPr>
            <w:tcW w:w="2851" w:type="dxa"/>
            <w:hideMark/>
          </w:tcPr>
          <w:p w14:paraId="4EE6A263"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Aggregates rows above.</w:t>
            </w:r>
          </w:p>
        </w:tc>
      </w:tr>
      <w:tr w:rsidR="00D216E0" w:rsidRPr="006B339C" w14:paraId="69C59EC5"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9F71213" w14:textId="77777777" w:rsidR="00D216E0" w:rsidRPr="006B339C" w:rsidRDefault="00D216E0" w:rsidP="00C50100">
            <w:pPr>
              <w:spacing w:after="160" w:line="278" w:lineRule="auto"/>
              <w:rPr>
                <w:sz w:val="20"/>
                <w:szCs w:val="20"/>
              </w:rPr>
            </w:pPr>
            <w:r w:rsidRPr="006B339C">
              <w:rPr>
                <w:sz w:val="20"/>
                <w:szCs w:val="20"/>
              </w:rPr>
              <w:t>2 (Prosperous)</w:t>
            </w:r>
          </w:p>
        </w:tc>
        <w:tc>
          <w:tcPr>
            <w:tcW w:w="0" w:type="auto"/>
            <w:hideMark/>
          </w:tcPr>
          <w:p w14:paraId="067D2BAA"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U.S. export trade exposure</w:t>
            </w:r>
          </w:p>
        </w:tc>
        <w:tc>
          <w:tcPr>
            <w:tcW w:w="2176" w:type="dxa"/>
            <w:hideMark/>
          </w:tcPr>
          <w:p w14:paraId="0B00BFB0"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12-month value &amp; growth of U.S. exports of each HS-6 product to partner </w:t>
            </w:r>
            <w:r w:rsidRPr="006B339C">
              <w:rPr>
                <w:i/>
                <w:iCs/>
                <w:sz w:val="20"/>
                <w:szCs w:val="20"/>
              </w:rPr>
              <w:t>i</w:t>
            </w:r>
            <w:r w:rsidRPr="006B339C">
              <w:rPr>
                <w:sz w:val="20"/>
                <w:szCs w:val="20"/>
              </w:rPr>
              <w:t>.</w:t>
            </w:r>
          </w:p>
        </w:tc>
        <w:tc>
          <w:tcPr>
            <w:tcW w:w="2703" w:type="dxa"/>
            <w:hideMark/>
          </w:tcPr>
          <w:p w14:paraId="36C67122"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Same construction as import index but on export flow; weights 2:1 inside Pros-index.</w:t>
            </w:r>
          </w:p>
        </w:tc>
        <w:tc>
          <w:tcPr>
            <w:tcW w:w="2851" w:type="dxa"/>
            <w:hideMark/>
          </w:tcPr>
          <w:p w14:paraId="75EEEB4B"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Census export API (exports/hs).</w:t>
            </w:r>
          </w:p>
        </w:tc>
      </w:tr>
      <w:tr w:rsidR="00D216E0" w:rsidRPr="006B339C" w14:paraId="734B8A13"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5D68D597" w14:textId="77777777" w:rsidR="00D216E0" w:rsidRPr="006B339C" w:rsidRDefault="00D216E0" w:rsidP="00C50100">
            <w:pPr>
              <w:spacing w:after="160" w:line="278" w:lineRule="auto"/>
              <w:rPr>
                <w:sz w:val="20"/>
                <w:szCs w:val="20"/>
              </w:rPr>
            </w:pPr>
            <w:r w:rsidRPr="006B339C">
              <w:rPr>
                <w:sz w:val="20"/>
                <w:szCs w:val="20"/>
              </w:rPr>
              <w:t>1 (Prosperous)</w:t>
            </w:r>
          </w:p>
        </w:tc>
        <w:tc>
          <w:tcPr>
            <w:tcW w:w="0" w:type="auto"/>
            <w:hideMark/>
          </w:tcPr>
          <w:p w14:paraId="19D6DC85"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Economic-opportunity (U.S.)</w:t>
            </w:r>
          </w:p>
        </w:tc>
        <w:tc>
          <w:tcPr>
            <w:tcW w:w="2176" w:type="dxa"/>
            <w:hideMark/>
          </w:tcPr>
          <w:p w14:paraId="62D6ABE9"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Same tech-segment “Overall Economic Opportunity Index” but benchmarked to U.S.</w:t>
            </w:r>
          </w:p>
        </w:tc>
        <w:tc>
          <w:tcPr>
            <w:tcW w:w="2703" w:type="dxa"/>
            <w:hideMark/>
          </w:tcPr>
          <w:p w14:paraId="608E026D"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0-1 </w:t>
            </w:r>
            <w:r>
              <w:rPr>
                <w:sz w:val="20"/>
                <w:szCs w:val="20"/>
              </w:rPr>
              <w:t>S-C</w:t>
            </w:r>
            <w:r w:rsidRPr="006B339C">
              <w:rPr>
                <w:sz w:val="20"/>
                <w:szCs w:val="20"/>
              </w:rPr>
              <w:t>urve.</w:t>
            </w:r>
          </w:p>
        </w:tc>
        <w:tc>
          <w:tcPr>
            <w:tcW w:w="2851" w:type="dxa"/>
            <w:hideMark/>
          </w:tcPr>
          <w:p w14:paraId="4300084F"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Internal composite.</w:t>
            </w:r>
          </w:p>
        </w:tc>
      </w:tr>
      <w:tr w:rsidR="00D216E0" w:rsidRPr="006B339C" w14:paraId="4DD30748"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3FCF0C4" w14:textId="77777777" w:rsidR="00D216E0" w:rsidRPr="006B339C" w:rsidRDefault="00D216E0" w:rsidP="00C50100">
            <w:pPr>
              <w:spacing w:after="160" w:line="278" w:lineRule="auto"/>
              <w:rPr>
                <w:sz w:val="20"/>
                <w:szCs w:val="20"/>
              </w:rPr>
            </w:pPr>
            <w:r w:rsidRPr="006B339C">
              <w:rPr>
                <w:sz w:val="20"/>
                <w:szCs w:val="20"/>
              </w:rPr>
              <w:t>0.25 (Prosperous)</w:t>
            </w:r>
          </w:p>
        </w:tc>
        <w:tc>
          <w:tcPr>
            <w:tcW w:w="0" w:type="auto"/>
            <w:hideMark/>
          </w:tcPr>
          <w:p w14:paraId="09AD5E68"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Energy-security gap (partner)</w:t>
            </w:r>
          </w:p>
        </w:tc>
        <w:tc>
          <w:tcPr>
            <w:tcW w:w="2176" w:type="dxa"/>
            <w:hideMark/>
          </w:tcPr>
          <w:p w14:paraId="5B0B6F08"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Partner’s own energy-security vulnerability in the segment (higher = U.S. leverage).</w:t>
            </w:r>
          </w:p>
        </w:tc>
        <w:tc>
          <w:tcPr>
            <w:tcW w:w="2703" w:type="dxa"/>
            <w:hideMark/>
          </w:tcPr>
          <w:p w14:paraId="60AF6909"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S</w:t>
            </w:r>
            <w:r>
              <w:rPr>
                <w:sz w:val="20"/>
                <w:szCs w:val="20"/>
              </w:rPr>
              <w:t>-C</w:t>
            </w:r>
            <w:r w:rsidRPr="006B339C">
              <w:rPr>
                <w:sz w:val="20"/>
                <w:szCs w:val="20"/>
              </w:rPr>
              <w:t>urved to 0-1 and entered with 0.25 weight.</w:t>
            </w:r>
          </w:p>
        </w:tc>
        <w:tc>
          <w:tcPr>
            <w:tcW w:w="2851" w:type="dxa"/>
            <w:hideMark/>
          </w:tcPr>
          <w:p w14:paraId="445D6406"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Internal Energy Security composite.</w:t>
            </w:r>
          </w:p>
        </w:tc>
      </w:tr>
      <w:tr w:rsidR="00D216E0" w:rsidRPr="006B339C" w14:paraId="6C857279"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3CB2B7A" w14:textId="77777777" w:rsidR="00D216E0" w:rsidRPr="006B339C" w:rsidRDefault="00D216E0" w:rsidP="00C50100">
            <w:pPr>
              <w:spacing w:after="160" w:line="278" w:lineRule="auto"/>
              <w:rPr>
                <w:sz w:val="20"/>
                <w:szCs w:val="20"/>
              </w:rPr>
            </w:pPr>
            <w:r w:rsidRPr="006B339C">
              <w:rPr>
                <w:sz w:val="20"/>
                <w:szCs w:val="20"/>
              </w:rPr>
              <w:t>-0.33 (Prosperous adj.)</w:t>
            </w:r>
          </w:p>
        </w:tc>
        <w:tc>
          <w:tcPr>
            <w:tcW w:w="0" w:type="auto"/>
            <w:hideMark/>
          </w:tcPr>
          <w:p w14:paraId="144FA464"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Climate-penalty</w:t>
            </w:r>
          </w:p>
        </w:tc>
        <w:tc>
          <w:tcPr>
            <w:tcW w:w="2176" w:type="dxa"/>
            <w:hideMark/>
          </w:tcPr>
          <w:p w14:paraId="4E62453A"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Same functional form as Safer; larger coefficient (-0.33) to reflect reputation risk in export markets.</w:t>
            </w:r>
          </w:p>
        </w:tc>
        <w:tc>
          <w:tcPr>
            <w:tcW w:w="2703" w:type="dxa"/>
            <w:hideMark/>
          </w:tcPr>
          <w:p w14:paraId="2B06A50D"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(1 − ghg_index) × climate_policy_index, scaled by 0.33 and subtracted.</w:t>
            </w:r>
          </w:p>
        </w:tc>
        <w:tc>
          <w:tcPr>
            <w:tcW w:w="2851" w:type="dxa"/>
            <w:hideMark/>
          </w:tcPr>
          <w:p w14:paraId="38F6BB8A"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Same IPCC &amp; CAT sources.</w:t>
            </w:r>
          </w:p>
        </w:tc>
      </w:tr>
      <w:tr w:rsidR="00D216E0" w:rsidRPr="006B339C" w14:paraId="25479C09"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568587E3" w14:textId="77777777" w:rsidR="00D216E0" w:rsidRPr="006B339C" w:rsidRDefault="00D216E0" w:rsidP="00C50100">
            <w:pPr>
              <w:spacing w:after="160" w:line="278" w:lineRule="auto"/>
              <w:rPr>
                <w:sz w:val="20"/>
                <w:szCs w:val="20"/>
              </w:rPr>
            </w:pPr>
            <w:r w:rsidRPr="006B339C">
              <w:rPr>
                <w:sz w:val="20"/>
                <w:szCs w:val="20"/>
              </w:rPr>
              <w:t>—</w:t>
            </w:r>
          </w:p>
        </w:tc>
        <w:tc>
          <w:tcPr>
            <w:tcW w:w="0" w:type="auto"/>
            <w:hideMark/>
          </w:tcPr>
          <w:p w14:paraId="5BBAFA16"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US Opportunity Index (“Prosperous”)</w:t>
            </w:r>
          </w:p>
        </w:tc>
        <w:tc>
          <w:tcPr>
            <w:tcW w:w="2176" w:type="dxa"/>
            <w:hideMark/>
          </w:tcPr>
          <w:p w14:paraId="2F190A0A"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Export-led upside in partner </w:t>
            </w:r>
            <w:r w:rsidRPr="006B339C">
              <w:rPr>
                <w:i/>
                <w:iCs/>
                <w:sz w:val="20"/>
                <w:szCs w:val="20"/>
              </w:rPr>
              <w:t>i</w:t>
            </w:r>
            <w:r w:rsidRPr="006B339C">
              <w:rPr>
                <w:sz w:val="20"/>
                <w:szCs w:val="20"/>
              </w:rPr>
              <w:t>.</w:t>
            </w:r>
          </w:p>
        </w:tc>
        <w:tc>
          <w:tcPr>
            <w:tcW w:w="2703" w:type="dxa"/>
            <w:hideMark/>
          </w:tcPr>
          <w:p w14:paraId="6EA2F89F"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Weighted mean (2 : 1 : 0.25) of three sub-indices – penalty; final scurve.</w:t>
            </w:r>
          </w:p>
        </w:tc>
        <w:tc>
          <w:tcPr>
            <w:tcW w:w="2851" w:type="dxa"/>
            <w:hideMark/>
          </w:tcPr>
          <w:p w14:paraId="7D28E78A"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Aggregates rows above.</w:t>
            </w:r>
          </w:p>
        </w:tc>
      </w:tr>
      <w:tr w:rsidR="00D216E0" w:rsidRPr="006B339C" w14:paraId="45662A1C"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739C555" w14:textId="77777777" w:rsidR="00D216E0" w:rsidRPr="006B339C" w:rsidRDefault="00D216E0" w:rsidP="00C50100">
            <w:pPr>
              <w:spacing w:after="160" w:line="278" w:lineRule="auto"/>
              <w:rPr>
                <w:sz w:val="20"/>
                <w:szCs w:val="20"/>
              </w:rPr>
            </w:pPr>
            <w:r w:rsidRPr="006B339C">
              <w:rPr>
                <w:sz w:val="20"/>
                <w:szCs w:val="20"/>
              </w:rPr>
              <w:t>≈ 1⁄6 each (Stronger)</w:t>
            </w:r>
          </w:p>
        </w:tc>
        <w:tc>
          <w:tcPr>
            <w:tcW w:w="0" w:type="auto"/>
            <w:hideMark/>
          </w:tcPr>
          <w:p w14:paraId="0E543356"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Development-potential composite</w:t>
            </w:r>
          </w:p>
        </w:tc>
        <w:tc>
          <w:tcPr>
            <w:tcW w:w="2176" w:type="dxa"/>
            <w:hideMark/>
          </w:tcPr>
          <w:p w14:paraId="4F421B78"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xml:space="preserve">Six factors: (i) inverse GDP/Doing-Business, (ii) partner &amp; U.S. energy-security gaps, (iii) </w:t>
            </w:r>
            <w:r w:rsidRPr="006B339C">
              <w:rPr>
                <w:sz w:val="20"/>
                <w:szCs w:val="20"/>
              </w:rPr>
              <w:lastRenderedPageBreak/>
              <w:t>partner economic opportunity, (iv) U.S. export-opportunity.</w:t>
            </w:r>
          </w:p>
        </w:tc>
        <w:tc>
          <w:tcPr>
            <w:tcW w:w="2703" w:type="dxa"/>
            <w:hideMark/>
          </w:tcPr>
          <w:p w14:paraId="3624B165"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lastRenderedPageBreak/>
              <w:t>Each raw metric → scurve; simple mean of six; scurved again so high = high need/potential.</w:t>
            </w:r>
          </w:p>
        </w:tc>
        <w:tc>
          <w:tcPr>
            <w:tcW w:w="2851" w:type="dxa"/>
            <w:hideMark/>
          </w:tcPr>
          <w:p w14:paraId="38B651A0"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 World Bank WDI &amp; Doing Business 2019.• Internal Energy &amp; Opportunity indices.• Census export API.</w:t>
            </w:r>
          </w:p>
        </w:tc>
      </w:tr>
      <w:tr w:rsidR="00D216E0" w:rsidRPr="006B339C" w14:paraId="78322141"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7B6A5CD8" w14:textId="77777777" w:rsidR="00D216E0" w:rsidRPr="006B339C" w:rsidRDefault="00D216E0" w:rsidP="00C50100">
            <w:pPr>
              <w:spacing w:after="160" w:line="278" w:lineRule="auto"/>
              <w:rPr>
                <w:sz w:val="20"/>
                <w:szCs w:val="20"/>
              </w:rPr>
            </w:pPr>
            <w:r w:rsidRPr="006B339C">
              <w:rPr>
                <w:sz w:val="20"/>
                <w:szCs w:val="20"/>
              </w:rPr>
              <w:t>0.4 / 0.4 / 0.2 (PSI)</w:t>
            </w:r>
          </w:p>
        </w:tc>
        <w:tc>
          <w:tcPr>
            <w:tcW w:w="0" w:type="auto"/>
            <w:hideMark/>
          </w:tcPr>
          <w:p w14:paraId="3A78C128"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B339C">
              <w:rPr>
                <w:b/>
                <w:bCs/>
                <w:sz w:val="20"/>
                <w:szCs w:val="20"/>
              </w:rPr>
              <w:t>Partnership Strength Index (PSI)</w:t>
            </w:r>
          </w:p>
        </w:tc>
        <w:tc>
          <w:tcPr>
            <w:tcW w:w="2176" w:type="dxa"/>
            <w:hideMark/>
          </w:tcPr>
          <w:p w14:paraId="4596EA95"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Country-level composite of Safer, Prosperous &amp; Stronger pillars.</w:t>
            </w:r>
          </w:p>
        </w:tc>
        <w:tc>
          <w:tcPr>
            <w:tcW w:w="2703" w:type="dxa"/>
            <w:hideMark/>
          </w:tcPr>
          <w:p w14:paraId="49B221CE"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psi = 0.4·Safer + 0.4·Prosperous + 0.2·Stronger; lanes assigned by tercile thresholds (≥ 0.66, ≥ 0.33).</w:t>
            </w:r>
          </w:p>
        </w:tc>
        <w:tc>
          <w:tcPr>
            <w:tcW w:w="2851" w:type="dxa"/>
            <w:hideMark/>
          </w:tcPr>
          <w:p w14:paraId="51C7C735" w14:textId="77777777" w:rsidR="00D216E0" w:rsidRPr="006B339C" w:rsidRDefault="00D216E0" w:rsidP="00C5010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B339C">
              <w:rPr>
                <w:sz w:val="20"/>
                <w:szCs w:val="20"/>
              </w:rPr>
              <w:t>Outputs of rows above.</w:t>
            </w:r>
          </w:p>
        </w:tc>
      </w:tr>
    </w:tbl>
    <w:p w14:paraId="3632B51F" w14:textId="77777777" w:rsidR="00D216E0" w:rsidRDefault="00D216E0" w:rsidP="00D216E0">
      <w:pPr>
        <w:rPr>
          <w:b/>
          <w:bCs/>
        </w:rPr>
      </w:pPr>
    </w:p>
    <w:p w14:paraId="525B3F80" w14:textId="77777777" w:rsidR="00D216E0" w:rsidRPr="002D79C0" w:rsidRDefault="00AC323E" w:rsidP="00D216E0">
      <w:r>
        <w:rPr>
          <w:noProof/>
        </w:rPr>
        <w:pict w14:anchorId="410FD2AC">
          <v:rect id="_x0000_i1031" alt="" style="width:468pt;height:.05pt;mso-width-percent:0;mso-height-percent:0;mso-width-percent:0;mso-height-percent:0" o:hralign="center" o:hrstd="t" o:hr="t" fillcolor="#a0a0a0" stroked="f"/>
        </w:pict>
      </w:r>
    </w:p>
    <w:p w14:paraId="119FF828" w14:textId="77777777" w:rsidR="00D216E0" w:rsidRPr="002D79C0" w:rsidRDefault="00D216E0" w:rsidP="00D216E0">
      <w:pPr>
        <w:pStyle w:val="Heading3"/>
      </w:pPr>
      <w:r w:rsidRPr="002D79C0">
        <w:t>4.</w:t>
      </w:r>
      <w:r>
        <w:t>4</w:t>
      </w:r>
      <w:r w:rsidRPr="002D79C0">
        <w:t> </w:t>
      </w:r>
      <w:r w:rsidRPr="002D79C0">
        <w:t>Source summary</w:t>
      </w:r>
    </w:p>
    <w:tbl>
      <w:tblPr>
        <w:tblStyle w:val="GridTable1Light-Accent2"/>
        <w:tblW w:w="0" w:type="auto"/>
        <w:tblLook w:val="04A0" w:firstRow="1" w:lastRow="0" w:firstColumn="1" w:lastColumn="0" w:noHBand="0" w:noVBand="1"/>
      </w:tblPr>
      <w:tblGrid>
        <w:gridCol w:w="3101"/>
        <w:gridCol w:w="3485"/>
        <w:gridCol w:w="2764"/>
      </w:tblGrid>
      <w:tr w:rsidR="00D216E0" w:rsidRPr="002D79C0" w14:paraId="07634DD4"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FC42A" w14:textId="77777777" w:rsidR="00D216E0" w:rsidRPr="002D79C0" w:rsidRDefault="00D216E0" w:rsidP="00C50100">
            <w:pPr>
              <w:rPr>
                <w:b w:val="0"/>
                <w:bCs w:val="0"/>
              </w:rPr>
            </w:pPr>
            <w:r w:rsidRPr="002D79C0">
              <w:t>Dataset</w:t>
            </w:r>
          </w:p>
        </w:tc>
        <w:tc>
          <w:tcPr>
            <w:tcW w:w="0" w:type="auto"/>
            <w:hideMark/>
          </w:tcPr>
          <w:p w14:paraId="2F154A7D"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Vintage used</w:t>
            </w:r>
          </w:p>
        </w:tc>
        <w:tc>
          <w:tcPr>
            <w:tcW w:w="0" w:type="auto"/>
            <w:hideMark/>
          </w:tcPr>
          <w:p w14:paraId="5ED75EF9" w14:textId="77777777" w:rsidR="00D216E0" w:rsidRPr="002D79C0"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2D79C0">
              <w:t>Main variables pulled</w:t>
            </w:r>
          </w:p>
        </w:tc>
      </w:tr>
      <w:tr w:rsidR="00D216E0" w:rsidRPr="002D79C0" w14:paraId="127BAD92"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07AD698D" w14:textId="77777777" w:rsidR="00D216E0" w:rsidRPr="00883E56" w:rsidRDefault="00D216E0" w:rsidP="00C50100">
            <w:pPr>
              <w:rPr>
                <w:sz w:val="22"/>
                <w:szCs w:val="22"/>
              </w:rPr>
            </w:pPr>
            <w:r w:rsidRPr="00883E56">
              <w:rPr>
                <w:sz w:val="22"/>
                <w:szCs w:val="22"/>
              </w:rPr>
              <w:t>EI Statistical Review of World Energy</w:t>
            </w:r>
          </w:p>
        </w:tc>
        <w:tc>
          <w:tcPr>
            <w:tcW w:w="0" w:type="auto"/>
            <w:hideMark/>
          </w:tcPr>
          <w:p w14:paraId="22B70E28"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2024 edition</w:t>
            </w:r>
          </w:p>
        </w:tc>
        <w:tc>
          <w:tcPr>
            <w:tcW w:w="0" w:type="auto"/>
            <w:hideMark/>
          </w:tcPr>
          <w:p w14:paraId="63A6D664"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Production, consumption, prices, reserves for ~70</w:t>
            </w:r>
            <w:r w:rsidRPr="00883E56">
              <w:rPr>
                <w:rFonts w:ascii="Arial" w:hAnsi="Arial" w:cs="Arial"/>
                <w:sz w:val="22"/>
                <w:szCs w:val="22"/>
              </w:rPr>
              <w:t> </w:t>
            </w:r>
            <w:r w:rsidRPr="00883E56">
              <w:rPr>
                <w:sz w:val="22"/>
                <w:szCs w:val="22"/>
              </w:rPr>
              <w:t>fuels &amp; minerals</w:t>
            </w:r>
          </w:p>
        </w:tc>
      </w:tr>
      <w:tr w:rsidR="00D216E0" w:rsidRPr="002D79C0" w14:paraId="59B2C4F7"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DBE7B74" w14:textId="77777777" w:rsidR="00D216E0" w:rsidRPr="00883E56" w:rsidRDefault="00D216E0" w:rsidP="00C50100">
            <w:pPr>
              <w:rPr>
                <w:sz w:val="22"/>
                <w:szCs w:val="22"/>
              </w:rPr>
            </w:pPr>
            <w:r w:rsidRPr="00883E56">
              <w:rPr>
                <w:sz w:val="22"/>
                <w:szCs w:val="22"/>
              </w:rPr>
              <w:t>IEA Energy Technology Perspectives</w:t>
            </w:r>
          </w:p>
        </w:tc>
        <w:tc>
          <w:tcPr>
            <w:tcW w:w="0" w:type="auto"/>
            <w:hideMark/>
          </w:tcPr>
          <w:p w14:paraId="7F92DA91"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2024</w:t>
            </w:r>
          </w:p>
        </w:tc>
        <w:tc>
          <w:tcPr>
            <w:tcW w:w="0" w:type="auto"/>
            <w:hideMark/>
          </w:tcPr>
          <w:p w14:paraId="3FD7ED2E"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2035 manufacturing capacity by tech</w:t>
            </w:r>
          </w:p>
        </w:tc>
      </w:tr>
      <w:tr w:rsidR="00D216E0" w:rsidRPr="002D79C0" w14:paraId="545F604D"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A3B2DF8" w14:textId="77777777" w:rsidR="00D216E0" w:rsidRPr="00883E56" w:rsidRDefault="00D216E0" w:rsidP="00C50100">
            <w:pPr>
              <w:rPr>
                <w:sz w:val="22"/>
                <w:szCs w:val="22"/>
              </w:rPr>
            </w:pPr>
            <w:r w:rsidRPr="00883E56">
              <w:rPr>
                <w:sz w:val="22"/>
                <w:szCs w:val="22"/>
              </w:rPr>
              <w:t>IEA Critical Minerals Market Review</w:t>
            </w:r>
          </w:p>
        </w:tc>
        <w:tc>
          <w:tcPr>
            <w:tcW w:w="0" w:type="auto"/>
            <w:hideMark/>
          </w:tcPr>
          <w:p w14:paraId="0B5F4EB3"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2025 (accessed Mar</w:t>
            </w:r>
            <w:r w:rsidRPr="00883E56">
              <w:rPr>
                <w:sz w:val="22"/>
                <w:szCs w:val="22"/>
              </w:rPr>
              <w:noBreakHyphen/>
              <w:t>2025)</w:t>
            </w:r>
          </w:p>
        </w:tc>
        <w:tc>
          <w:tcPr>
            <w:tcW w:w="0" w:type="auto"/>
            <w:hideMark/>
          </w:tcPr>
          <w:p w14:paraId="625AE711"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Supply, demand, reserves for Li, Co, Ni, graphite, REE</w:t>
            </w:r>
          </w:p>
        </w:tc>
      </w:tr>
      <w:tr w:rsidR="00D216E0" w:rsidRPr="002D79C0" w14:paraId="2669AE3E"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69FE3DBE" w14:textId="77777777" w:rsidR="00D216E0" w:rsidRPr="00883E56" w:rsidRDefault="00D216E0" w:rsidP="00C50100">
            <w:pPr>
              <w:rPr>
                <w:sz w:val="22"/>
                <w:szCs w:val="22"/>
              </w:rPr>
            </w:pPr>
            <w:r w:rsidRPr="00883E56">
              <w:rPr>
                <w:sz w:val="22"/>
                <w:szCs w:val="22"/>
              </w:rPr>
              <w:t>IEA World Energy Outlook</w:t>
            </w:r>
          </w:p>
        </w:tc>
        <w:tc>
          <w:tcPr>
            <w:tcW w:w="0" w:type="auto"/>
            <w:hideMark/>
          </w:tcPr>
          <w:p w14:paraId="59937EB5"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2024, STEPS</w:t>
            </w:r>
          </w:p>
        </w:tc>
        <w:tc>
          <w:tcPr>
            <w:tcW w:w="0" w:type="auto"/>
            <w:hideMark/>
          </w:tcPr>
          <w:p w14:paraId="0A70DA0C"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Global demand trajectories</w:t>
            </w:r>
          </w:p>
        </w:tc>
      </w:tr>
      <w:tr w:rsidR="00D216E0" w:rsidRPr="002D79C0" w14:paraId="7AC336B2"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F4E369F" w14:textId="77777777" w:rsidR="00D216E0" w:rsidRPr="00883E56" w:rsidRDefault="00D216E0" w:rsidP="00C50100">
            <w:pPr>
              <w:rPr>
                <w:sz w:val="22"/>
                <w:szCs w:val="22"/>
              </w:rPr>
            </w:pPr>
            <w:r w:rsidRPr="00883E56">
              <w:rPr>
                <w:sz w:val="22"/>
                <w:szCs w:val="22"/>
              </w:rPr>
              <w:t>BNEF</w:t>
            </w:r>
          </w:p>
        </w:tc>
        <w:tc>
          <w:tcPr>
            <w:tcW w:w="0" w:type="auto"/>
            <w:hideMark/>
          </w:tcPr>
          <w:p w14:paraId="36925125"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LCOE 2025, Supply</w:t>
            </w:r>
            <w:r w:rsidRPr="00883E56">
              <w:rPr>
                <w:sz w:val="22"/>
                <w:szCs w:val="22"/>
              </w:rPr>
              <w:noBreakHyphen/>
              <w:t>Chains 2025, NEO 2024, Investment</w:t>
            </w:r>
            <w:r w:rsidRPr="00883E56">
              <w:rPr>
                <w:sz w:val="22"/>
                <w:szCs w:val="22"/>
              </w:rPr>
              <w:noBreakHyphen/>
              <w:t>Trends 2025</w:t>
            </w:r>
          </w:p>
        </w:tc>
        <w:tc>
          <w:tcPr>
            <w:tcW w:w="0" w:type="auto"/>
            <w:hideMark/>
          </w:tcPr>
          <w:p w14:paraId="263FDB0D"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LCOE, over</w:t>
            </w:r>
            <w:r w:rsidRPr="00883E56">
              <w:rPr>
                <w:sz w:val="22"/>
                <w:szCs w:val="22"/>
              </w:rPr>
              <w:noBreakHyphen/>
              <w:t>capacity, demand, CAPEX</w:t>
            </w:r>
          </w:p>
        </w:tc>
      </w:tr>
      <w:tr w:rsidR="00D216E0" w:rsidRPr="002D79C0" w14:paraId="4D17E97F"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E16349D" w14:textId="77777777" w:rsidR="00D216E0" w:rsidRPr="00883E56" w:rsidRDefault="00D216E0" w:rsidP="00C50100">
            <w:pPr>
              <w:rPr>
                <w:sz w:val="22"/>
                <w:szCs w:val="22"/>
              </w:rPr>
            </w:pPr>
            <w:r w:rsidRPr="00883E56">
              <w:rPr>
                <w:sz w:val="22"/>
                <w:szCs w:val="22"/>
              </w:rPr>
              <w:t>Clean</w:t>
            </w:r>
            <w:r w:rsidRPr="00883E56">
              <w:rPr>
                <w:rFonts w:ascii="Arial" w:hAnsi="Arial" w:cs="Arial"/>
                <w:sz w:val="22"/>
                <w:szCs w:val="22"/>
              </w:rPr>
              <w:t> </w:t>
            </w:r>
            <w:r w:rsidRPr="00883E56">
              <w:rPr>
                <w:sz w:val="22"/>
                <w:szCs w:val="22"/>
              </w:rPr>
              <w:t>Investment</w:t>
            </w:r>
            <w:r w:rsidRPr="00883E56">
              <w:rPr>
                <w:rFonts w:ascii="Arial" w:hAnsi="Arial" w:cs="Arial"/>
                <w:sz w:val="22"/>
                <w:szCs w:val="22"/>
              </w:rPr>
              <w:t> </w:t>
            </w:r>
            <w:r w:rsidRPr="00883E56">
              <w:rPr>
                <w:sz w:val="22"/>
                <w:szCs w:val="22"/>
              </w:rPr>
              <w:t>Monitor</w:t>
            </w:r>
          </w:p>
        </w:tc>
        <w:tc>
          <w:tcPr>
            <w:tcW w:w="0" w:type="auto"/>
            <w:hideMark/>
          </w:tcPr>
          <w:p w14:paraId="24ED3EE2"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Q4 2024</w:t>
            </w:r>
          </w:p>
        </w:tc>
        <w:tc>
          <w:tcPr>
            <w:tcW w:w="0" w:type="auto"/>
            <w:hideMark/>
          </w:tcPr>
          <w:p w14:paraId="3C922165"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Quarterly US CAPEX by tech &amp; segment</w:t>
            </w:r>
          </w:p>
        </w:tc>
      </w:tr>
      <w:tr w:rsidR="00D216E0" w:rsidRPr="002D79C0" w14:paraId="60D8B5C3"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96583C1" w14:textId="77777777" w:rsidR="00D216E0" w:rsidRPr="00883E56" w:rsidRDefault="00D216E0" w:rsidP="00C50100">
            <w:pPr>
              <w:rPr>
                <w:sz w:val="22"/>
                <w:szCs w:val="22"/>
              </w:rPr>
            </w:pPr>
            <w:r w:rsidRPr="00883E56">
              <w:rPr>
                <w:sz w:val="22"/>
                <w:szCs w:val="22"/>
              </w:rPr>
              <w:t>Harvard Atlas of Economic Complexity</w:t>
            </w:r>
          </w:p>
        </w:tc>
        <w:tc>
          <w:tcPr>
            <w:tcW w:w="0" w:type="auto"/>
            <w:hideMark/>
          </w:tcPr>
          <w:p w14:paraId="367C5C0E"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2023 release</w:t>
            </w:r>
          </w:p>
        </w:tc>
        <w:tc>
          <w:tcPr>
            <w:tcW w:w="0" w:type="auto"/>
            <w:hideMark/>
          </w:tcPr>
          <w:p w14:paraId="5BE44FDD"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Exports, RCA, product</w:t>
            </w:r>
            <w:r w:rsidRPr="00883E56">
              <w:rPr>
                <w:sz w:val="22"/>
                <w:szCs w:val="22"/>
              </w:rPr>
              <w:noBreakHyphen/>
              <w:t>space “distance”</w:t>
            </w:r>
          </w:p>
        </w:tc>
      </w:tr>
      <w:tr w:rsidR="00D216E0" w:rsidRPr="002D79C0" w14:paraId="7F4C3A16"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74C1E9EE" w14:textId="77777777" w:rsidR="00D216E0" w:rsidRPr="00883E56" w:rsidRDefault="00D216E0" w:rsidP="00C50100">
            <w:pPr>
              <w:rPr>
                <w:sz w:val="22"/>
                <w:szCs w:val="22"/>
              </w:rPr>
            </w:pPr>
            <w:r w:rsidRPr="00883E56">
              <w:rPr>
                <w:sz w:val="22"/>
                <w:szCs w:val="22"/>
              </w:rPr>
              <w:t>UN</w:t>
            </w:r>
            <w:r w:rsidRPr="00883E56">
              <w:rPr>
                <w:rFonts w:ascii="Arial" w:hAnsi="Arial" w:cs="Arial"/>
                <w:sz w:val="22"/>
                <w:szCs w:val="22"/>
              </w:rPr>
              <w:t> </w:t>
            </w:r>
            <w:r w:rsidRPr="00883E56">
              <w:rPr>
                <w:sz w:val="22"/>
                <w:szCs w:val="22"/>
              </w:rPr>
              <w:t>Comtrade</w:t>
            </w:r>
          </w:p>
        </w:tc>
        <w:tc>
          <w:tcPr>
            <w:tcW w:w="0" w:type="auto"/>
            <w:hideMark/>
          </w:tcPr>
          <w:p w14:paraId="4E384579"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2023</w:t>
            </w:r>
          </w:p>
        </w:tc>
        <w:tc>
          <w:tcPr>
            <w:tcW w:w="0" w:type="auto"/>
            <w:hideMark/>
          </w:tcPr>
          <w:p w14:paraId="5FCE1017"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HS</w:t>
            </w:r>
            <w:r w:rsidRPr="00883E56">
              <w:rPr>
                <w:sz w:val="22"/>
                <w:szCs w:val="22"/>
              </w:rPr>
              <w:noBreakHyphen/>
              <w:t>6 trade flows for critical minerals</w:t>
            </w:r>
          </w:p>
        </w:tc>
      </w:tr>
      <w:tr w:rsidR="00D216E0" w:rsidRPr="002D79C0" w14:paraId="3F0587A3"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2A5D683D" w14:textId="77777777" w:rsidR="00D216E0" w:rsidRPr="00883E56" w:rsidRDefault="00D216E0" w:rsidP="00C50100">
            <w:pPr>
              <w:rPr>
                <w:sz w:val="22"/>
                <w:szCs w:val="22"/>
              </w:rPr>
            </w:pPr>
            <w:r w:rsidRPr="00883E56">
              <w:rPr>
                <w:sz w:val="22"/>
                <w:szCs w:val="22"/>
              </w:rPr>
              <w:t>US Census ITDS</w:t>
            </w:r>
          </w:p>
        </w:tc>
        <w:tc>
          <w:tcPr>
            <w:tcW w:w="0" w:type="auto"/>
            <w:hideMark/>
          </w:tcPr>
          <w:p w14:paraId="5C74A494"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2020</w:t>
            </w:r>
            <w:r w:rsidRPr="00883E56">
              <w:rPr>
                <w:sz w:val="22"/>
                <w:szCs w:val="22"/>
              </w:rPr>
              <w:noBreakHyphen/>
              <w:t>25 monthly</w:t>
            </w:r>
          </w:p>
        </w:tc>
        <w:tc>
          <w:tcPr>
            <w:tcW w:w="0" w:type="auto"/>
            <w:hideMark/>
          </w:tcPr>
          <w:p w14:paraId="01DAB95B"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HS</w:t>
            </w:r>
            <w:r w:rsidRPr="00883E56">
              <w:rPr>
                <w:sz w:val="22"/>
                <w:szCs w:val="22"/>
              </w:rPr>
              <w:noBreakHyphen/>
              <w:t>10 exports &amp; imports</w:t>
            </w:r>
          </w:p>
        </w:tc>
      </w:tr>
      <w:tr w:rsidR="00D216E0" w:rsidRPr="002D79C0" w14:paraId="426495CB"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52315F2B" w14:textId="77777777" w:rsidR="00D216E0" w:rsidRPr="00883E56" w:rsidRDefault="00D216E0" w:rsidP="00C50100">
            <w:pPr>
              <w:rPr>
                <w:sz w:val="22"/>
                <w:szCs w:val="22"/>
              </w:rPr>
            </w:pPr>
            <w:r w:rsidRPr="00883E56">
              <w:rPr>
                <w:sz w:val="22"/>
                <w:szCs w:val="22"/>
              </w:rPr>
              <w:t>World</w:t>
            </w:r>
            <w:r w:rsidRPr="00883E56">
              <w:rPr>
                <w:rFonts w:ascii="Arial" w:hAnsi="Arial" w:cs="Arial"/>
                <w:sz w:val="22"/>
                <w:szCs w:val="22"/>
              </w:rPr>
              <w:t> </w:t>
            </w:r>
            <w:r w:rsidRPr="00883E56">
              <w:rPr>
                <w:sz w:val="22"/>
                <w:szCs w:val="22"/>
              </w:rPr>
              <w:t>Bank WDI &amp; Doing</w:t>
            </w:r>
            <w:r w:rsidRPr="00883E56">
              <w:rPr>
                <w:sz w:val="22"/>
                <w:szCs w:val="22"/>
              </w:rPr>
              <w:noBreakHyphen/>
              <w:t>Business</w:t>
            </w:r>
          </w:p>
        </w:tc>
        <w:tc>
          <w:tcPr>
            <w:tcW w:w="0" w:type="auto"/>
            <w:hideMark/>
          </w:tcPr>
          <w:p w14:paraId="4B1CD521"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2024 refresh</w:t>
            </w:r>
          </w:p>
        </w:tc>
        <w:tc>
          <w:tcPr>
            <w:tcW w:w="0" w:type="auto"/>
            <w:hideMark/>
          </w:tcPr>
          <w:p w14:paraId="2C292B08" w14:textId="77777777" w:rsidR="00D216E0" w:rsidRPr="00883E56" w:rsidRDefault="00D216E0" w:rsidP="00C50100">
            <w:pPr>
              <w:cnfStyle w:val="000000000000" w:firstRow="0" w:lastRow="0" w:firstColumn="0" w:lastColumn="0" w:oddVBand="0" w:evenVBand="0" w:oddHBand="0" w:evenHBand="0" w:firstRowFirstColumn="0" w:firstRowLastColumn="0" w:lastRowFirstColumn="0" w:lastRowLastColumn="0"/>
              <w:rPr>
                <w:sz w:val="22"/>
                <w:szCs w:val="22"/>
              </w:rPr>
            </w:pPr>
            <w:r w:rsidRPr="00883E56">
              <w:rPr>
                <w:sz w:val="22"/>
                <w:szCs w:val="22"/>
              </w:rPr>
              <w:t>15 governance &amp; finance indicators</w:t>
            </w:r>
          </w:p>
        </w:tc>
      </w:tr>
    </w:tbl>
    <w:p w14:paraId="27D355F4" w14:textId="77777777" w:rsidR="00D216E0" w:rsidRPr="002D79C0" w:rsidRDefault="00D216E0" w:rsidP="00D216E0">
      <w:r w:rsidRPr="002D79C0">
        <w:rPr>
          <w:i/>
          <w:iCs/>
        </w:rPr>
        <w:t>(See embedded comments in the code for line numbers and transformations.)</w:t>
      </w:r>
    </w:p>
    <w:p w14:paraId="719536DF" w14:textId="77777777" w:rsidR="00D216E0" w:rsidRPr="002D79C0" w:rsidRDefault="00AC323E" w:rsidP="00D216E0">
      <w:r>
        <w:rPr>
          <w:noProof/>
        </w:rPr>
        <w:pict w14:anchorId="1711E382">
          <v:rect id="_x0000_i1032" alt="" style="width:468pt;height:.05pt;mso-width-percent:0;mso-height-percent:0;mso-width-percent:0;mso-height-percent:0" o:hralign="center" o:hrstd="t" o:hr="t" fillcolor="#a0a0a0" stroked="f"/>
        </w:pict>
      </w:r>
    </w:p>
    <w:p w14:paraId="046702ED" w14:textId="77777777" w:rsidR="00D216E0" w:rsidRPr="00E1169D" w:rsidRDefault="00D216E0" w:rsidP="00D216E0"/>
    <w:p w14:paraId="7EE7DF96" w14:textId="77777777" w:rsidR="00D216E0" w:rsidRDefault="00D216E0" w:rsidP="00D216E0">
      <w:pPr>
        <w:rPr>
          <w:b/>
          <w:bCs/>
        </w:rPr>
      </w:pPr>
      <w:r>
        <w:rPr>
          <w:b/>
          <w:bCs/>
        </w:rPr>
        <w:br w:type="page"/>
      </w:r>
    </w:p>
    <w:p w14:paraId="2079851D" w14:textId="77777777" w:rsidR="00D216E0" w:rsidRPr="00E1169D" w:rsidRDefault="00D216E0" w:rsidP="00D216E0">
      <w:pPr>
        <w:pStyle w:val="Heading2"/>
      </w:pPr>
      <w:r w:rsidRPr="00E1169D">
        <w:lastRenderedPageBreak/>
        <w:t>5. Key Methodological Choices &amp; Their Implications</w:t>
      </w:r>
    </w:p>
    <w:tbl>
      <w:tblPr>
        <w:tblStyle w:val="GridTable1Light-Accent2"/>
        <w:tblW w:w="0" w:type="auto"/>
        <w:tblLook w:val="04A0" w:firstRow="1" w:lastRow="0" w:firstColumn="1" w:lastColumn="0" w:noHBand="0" w:noVBand="1"/>
      </w:tblPr>
      <w:tblGrid>
        <w:gridCol w:w="2332"/>
        <w:gridCol w:w="2644"/>
        <w:gridCol w:w="4374"/>
      </w:tblGrid>
      <w:tr w:rsidR="00D216E0" w:rsidRPr="00E1169D" w14:paraId="5B2834C5"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47AAE" w14:textId="77777777" w:rsidR="00D216E0" w:rsidRPr="00E1169D" w:rsidRDefault="00D216E0" w:rsidP="00C50100">
            <w:pPr>
              <w:rPr>
                <w:b w:val="0"/>
                <w:bCs w:val="0"/>
              </w:rPr>
            </w:pPr>
            <w:r w:rsidRPr="00E1169D">
              <w:t>Choice</w:t>
            </w:r>
          </w:p>
        </w:tc>
        <w:tc>
          <w:tcPr>
            <w:tcW w:w="0" w:type="auto"/>
            <w:hideMark/>
          </w:tcPr>
          <w:p w14:paraId="6E135A8C" w14:textId="77777777" w:rsidR="00D216E0" w:rsidRPr="00E1169D"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E1169D">
              <w:t>Rationale</w:t>
            </w:r>
          </w:p>
        </w:tc>
        <w:tc>
          <w:tcPr>
            <w:tcW w:w="0" w:type="auto"/>
            <w:hideMark/>
          </w:tcPr>
          <w:p w14:paraId="77859814" w14:textId="77777777" w:rsidR="00D216E0" w:rsidRPr="00E1169D"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E1169D">
              <w:t>Policy</w:t>
            </w:r>
            <w:r w:rsidRPr="00E1169D">
              <w:noBreakHyphen/>
              <w:t>relevant implication</w:t>
            </w:r>
          </w:p>
        </w:tc>
      </w:tr>
      <w:tr w:rsidR="00D216E0" w:rsidRPr="00E1169D" w14:paraId="3A28E696"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07D4CFF" w14:textId="77777777" w:rsidR="00D216E0" w:rsidRPr="00D15C3E" w:rsidRDefault="00D216E0" w:rsidP="00C50100">
            <w:pPr>
              <w:rPr>
                <w:sz w:val="20"/>
                <w:szCs w:val="20"/>
              </w:rPr>
            </w:pPr>
            <w:r w:rsidRPr="00D15C3E">
              <w:rPr>
                <w:sz w:val="20"/>
                <w:szCs w:val="20"/>
              </w:rPr>
              <w:t>S</w:t>
            </w:r>
            <w:r w:rsidRPr="00D15C3E">
              <w:rPr>
                <w:sz w:val="20"/>
                <w:szCs w:val="20"/>
              </w:rPr>
              <w:noBreakHyphen/>
              <w:t>curve rescaling instead of z</w:t>
            </w:r>
            <w:r w:rsidRPr="00D15C3E">
              <w:rPr>
                <w:sz w:val="20"/>
                <w:szCs w:val="20"/>
              </w:rPr>
              <w:noBreakHyphen/>
              <w:t>scores</w:t>
            </w:r>
          </w:p>
        </w:tc>
        <w:tc>
          <w:tcPr>
            <w:tcW w:w="0" w:type="auto"/>
            <w:hideMark/>
          </w:tcPr>
          <w:p w14:paraId="51FFADE6"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Avoids giving undue leverage to outliers while still rewarding leadership.</w:t>
            </w:r>
          </w:p>
        </w:tc>
        <w:tc>
          <w:tcPr>
            <w:tcW w:w="0" w:type="auto"/>
            <w:hideMark/>
          </w:tcPr>
          <w:p w14:paraId="58BF3389"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Middle</w:t>
            </w:r>
            <w:r w:rsidRPr="00D15C3E">
              <w:rPr>
                <w:sz w:val="20"/>
                <w:szCs w:val="20"/>
              </w:rPr>
              <w:noBreakHyphen/>
              <w:t>of</w:t>
            </w:r>
            <w:r w:rsidRPr="00D15C3E">
              <w:rPr>
                <w:sz w:val="20"/>
                <w:szCs w:val="20"/>
              </w:rPr>
              <w:noBreakHyphen/>
              <w:t>the</w:t>
            </w:r>
            <w:r w:rsidRPr="00D15C3E">
              <w:rPr>
                <w:sz w:val="20"/>
                <w:szCs w:val="20"/>
              </w:rPr>
              <w:noBreakHyphen/>
              <w:t>pack countries cluster tightly; only clear leaders/laggards stand out, which is intuitive for diplomatic prioritization.</w:t>
            </w:r>
          </w:p>
        </w:tc>
      </w:tr>
      <w:tr w:rsidR="00D216E0" w:rsidRPr="00E1169D" w14:paraId="5FDA4318"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E22DDD6" w14:textId="77777777" w:rsidR="00D216E0" w:rsidRPr="00D15C3E" w:rsidRDefault="00D216E0" w:rsidP="00C50100">
            <w:pPr>
              <w:rPr>
                <w:sz w:val="20"/>
                <w:szCs w:val="20"/>
              </w:rPr>
            </w:pPr>
            <w:r w:rsidRPr="00D15C3E">
              <w:rPr>
                <w:sz w:val="20"/>
                <w:szCs w:val="20"/>
              </w:rPr>
              <w:t>Separating supply</w:t>
            </w:r>
            <w:r w:rsidRPr="00D15C3E">
              <w:rPr>
                <w:sz w:val="20"/>
                <w:szCs w:val="20"/>
              </w:rPr>
              <w:noBreakHyphen/>
              <w:t>chain stages</w:t>
            </w:r>
          </w:p>
        </w:tc>
        <w:tc>
          <w:tcPr>
            <w:tcW w:w="0" w:type="auto"/>
            <w:hideMark/>
          </w:tcPr>
          <w:p w14:paraId="2AA53050"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Risks and opportunities differ between mining and manufacturing.</w:t>
            </w:r>
          </w:p>
        </w:tc>
        <w:tc>
          <w:tcPr>
            <w:tcW w:w="0" w:type="auto"/>
            <w:hideMark/>
          </w:tcPr>
          <w:p w14:paraId="1E3B312D"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Enables granular policy (e.g., midstream battery incentives vs. upstream lithium diplomacy).</w:t>
            </w:r>
          </w:p>
        </w:tc>
      </w:tr>
      <w:tr w:rsidR="00D216E0" w:rsidRPr="00E1169D" w14:paraId="367871FE"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534CCEF4" w14:textId="77777777" w:rsidR="00D216E0" w:rsidRPr="00D15C3E" w:rsidRDefault="00D216E0" w:rsidP="00C50100">
            <w:pPr>
              <w:rPr>
                <w:sz w:val="20"/>
                <w:szCs w:val="20"/>
              </w:rPr>
            </w:pPr>
            <w:r w:rsidRPr="00D15C3E">
              <w:rPr>
                <w:sz w:val="20"/>
                <w:szCs w:val="20"/>
              </w:rPr>
              <w:t>Fixed weights (expert judgement)</w:t>
            </w:r>
          </w:p>
        </w:tc>
        <w:tc>
          <w:tcPr>
            <w:tcW w:w="0" w:type="auto"/>
            <w:hideMark/>
          </w:tcPr>
          <w:p w14:paraId="44AC3B4F"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Transparent and easy to tweak in future iterations.</w:t>
            </w:r>
          </w:p>
        </w:tc>
        <w:tc>
          <w:tcPr>
            <w:tcW w:w="0" w:type="auto"/>
            <w:hideMark/>
          </w:tcPr>
          <w:p w14:paraId="1E6C2948"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Scores are sensitive to weights; policymakers should rerun scenarios if priorities shift (e.g., security &gt; economics).</w:t>
            </w:r>
          </w:p>
        </w:tc>
      </w:tr>
      <w:tr w:rsidR="00D216E0" w:rsidRPr="00E1169D" w14:paraId="2C58799A"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5B9F803" w14:textId="77777777" w:rsidR="00D216E0" w:rsidRPr="00D15C3E" w:rsidRDefault="00D216E0" w:rsidP="00C50100">
            <w:pPr>
              <w:rPr>
                <w:sz w:val="20"/>
                <w:szCs w:val="20"/>
              </w:rPr>
            </w:pPr>
            <w:r w:rsidRPr="00D15C3E">
              <w:rPr>
                <w:sz w:val="20"/>
                <w:szCs w:val="20"/>
              </w:rPr>
              <w:t>Percentile</w:t>
            </w:r>
            <w:r w:rsidRPr="00D15C3E">
              <w:rPr>
                <w:sz w:val="20"/>
                <w:szCs w:val="20"/>
              </w:rPr>
              <w:noBreakHyphen/>
              <w:t>based indices</w:t>
            </w:r>
          </w:p>
        </w:tc>
        <w:tc>
          <w:tcPr>
            <w:tcW w:w="0" w:type="auto"/>
            <w:hideMark/>
          </w:tcPr>
          <w:p w14:paraId="0A6C63A9"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Sidesteps unit conversions.</w:t>
            </w:r>
          </w:p>
        </w:tc>
        <w:tc>
          <w:tcPr>
            <w:tcW w:w="0" w:type="auto"/>
            <w:hideMark/>
          </w:tcPr>
          <w:p w14:paraId="7B37F254"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Absolute magnitude is lost; a 1</w:t>
            </w:r>
            <w:r w:rsidRPr="00D15C3E">
              <w:rPr>
                <w:rFonts w:ascii="Arial" w:hAnsi="Arial" w:cs="Arial"/>
                <w:sz w:val="20"/>
                <w:szCs w:val="20"/>
              </w:rPr>
              <w:t> </w:t>
            </w:r>
            <w:r w:rsidRPr="00D15C3E">
              <w:rPr>
                <w:sz w:val="20"/>
                <w:szCs w:val="20"/>
              </w:rPr>
              <w:t>Mt surplus and a 0.1</w:t>
            </w:r>
            <w:r w:rsidRPr="00D15C3E">
              <w:rPr>
                <w:rFonts w:ascii="Arial" w:hAnsi="Arial" w:cs="Arial"/>
                <w:sz w:val="20"/>
                <w:szCs w:val="20"/>
              </w:rPr>
              <w:t> </w:t>
            </w:r>
            <w:r w:rsidRPr="00D15C3E">
              <w:rPr>
                <w:sz w:val="20"/>
                <w:szCs w:val="20"/>
              </w:rPr>
              <w:t xml:space="preserve">Mt surplus can both look </w:t>
            </w:r>
            <w:r w:rsidRPr="00D15C3E">
              <w:rPr>
                <w:rFonts w:ascii="Aptos" w:hAnsi="Aptos" w:cs="Aptos"/>
                <w:sz w:val="20"/>
                <w:szCs w:val="20"/>
              </w:rPr>
              <w:t>“</w:t>
            </w:r>
            <w:r w:rsidRPr="00D15C3E">
              <w:rPr>
                <w:sz w:val="20"/>
                <w:szCs w:val="20"/>
              </w:rPr>
              <w:t>high</w:t>
            </w:r>
            <w:r w:rsidRPr="00D15C3E">
              <w:rPr>
                <w:rFonts w:ascii="Aptos" w:hAnsi="Aptos" w:cs="Aptos"/>
                <w:sz w:val="20"/>
                <w:szCs w:val="20"/>
              </w:rPr>
              <w:t>”</w:t>
            </w:r>
            <w:r w:rsidRPr="00D15C3E">
              <w:rPr>
                <w:sz w:val="20"/>
                <w:szCs w:val="20"/>
              </w:rPr>
              <w:t xml:space="preserve"> if they top the sample. Interpret rankings, </w:t>
            </w:r>
            <w:r w:rsidRPr="00D15C3E">
              <w:rPr>
                <w:b/>
                <w:bCs/>
                <w:sz w:val="20"/>
                <w:szCs w:val="20"/>
              </w:rPr>
              <w:t>not</w:t>
            </w:r>
            <w:r w:rsidRPr="00D15C3E">
              <w:rPr>
                <w:sz w:val="20"/>
                <w:szCs w:val="20"/>
              </w:rPr>
              <w:t xml:space="preserve"> exact distances.</w:t>
            </w:r>
          </w:p>
        </w:tc>
      </w:tr>
      <w:tr w:rsidR="00D216E0" w:rsidRPr="00E1169D" w14:paraId="2DAF80DD"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593DD0CD" w14:textId="77777777" w:rsidR="00D216E0" w:rsidRPr="00D15C3E" w:rsidRDefault="00D216E0" w:rsidP="00C50100">
            <w:pPr>
              <w:rPr>
                <w:sz w:val="20"/>
                <w:szCs w:val="20"/>
              </w:rPr>
            </w:pPr>
            <w:r w:rsidRPr="00D15C3E">
              <w:rPr>
                <w:sz w:val="20"/>
                <w:szCs w:val="20"/>
              </w:rPr>
              <w:t>Technology</w:t>
            </w:r>
            <w:r w:rsidRPr="00D15C3E">
              <w:rPr>
                <w:sz w:val="20"/>
                <w:szCs w:val="20"/>
              </w:rPr>
              <w:noBreakHyphen/>
              <w:t>neutral basket</w:t>
            </w:r>
          </w:p>
        </w:tc>
        <w:tc>
          <w:tcPr>
            <w:tcW w:w="0" w:type="auto"/>
            <w:hideMark/>
          </w:tcPr>
          <w:p w14:paraId="338029BB"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Captures both legacy (coal, oil) and transition (hydrogen, EVs) sectors.</w:t>
            </w:r>
          </w:p>
        </w:tc>
        <w:tc>
          <w:tcPr>
            <w:tcW w:w="0" w:type="auto"/>
            <w:hideMark/>
          </w:tcPr>
          <w:p w14:paraId="56CDBBEE"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Highlights trade</w:t>
            </w:r>
            <w:r w:rsidRPr="00D15C3E">
              <w:rPr>
                <w:sz w:val="20"/>
                <w:szCs w:val="20"/>
              </w:rPr>
              <w:noBreakHyphen/>
              <w:t>offs: boosting LNG exports may help EO but harm ES via methane.</w:t>
            </w:r>
          </w:p>
        </w:tc>
      </w:tr>
    </w:tbl>
    <w:p w14:paraId="40EF6B3D" w14:textId="77777777" w:rsidR="00D216E0" w:rsidRPr="00E1169D" w:rsidRDefault="00AC323E" w:rsidP="00D216E0">
      <w:r>
        <w:rPr>
          <w:noProof/>
        </w:rPr>
        <w:pict w14:anchorId="2451AF98">
          <v:rect id="_x0000_i1033" alt="" style="width:468pt;height:.05pt;mso-width-percent:0;mso-height-percent:0;mso-width-percent:0;mso-height-percent:0" o:hralign="center" o:hrstd="t" o:hr="t" fillcolor="#a0a0a0" stroked="f"/>
        </w:pict>
      </w:r>
    </w:p>
    <w:p w14:paraId="3BF1CB8B" w14:textId="77777777" w:rsidR="00D216E0" w:rsidRPr="00E1169D" w:rsidRDefault="00D216E0" w:rsidP="00D216E0">
      <w:pPr>
        <w:pStyle w:val="Heading2"/>
      </w:pPr>
      <w:r w:rsidRPr="00E1169D">
        <w:t>6. Data Sources and How They Are Used</w:t>
      </w:r>
    </w:p>
    <w:tbl>
      <w:tblPr>
        <w:tblStyle w:val="GridTable1Light-Accent2"/>
        <w:tblW w:w="0" w:type="auto"/>
        <w:tblLook w:val="04A0" w:firstRow="1" w:lastRow="0" w:firstColumn="1" w:lastColumn="0" w:noHBand="0" w:noVBand="1"/>
      </w:tblPr>
      <w:tblGrid>
        <w:gridCol w:w="4798"/>
        <w:gridCol w:w="4552"/>
      </w:tblGrid>
      <w:tr w:rsidR="00D216E0" w:rsidRPr="00E1169D" w14:paraId="1D198D5C" w14:textId="77777777" w:rsidTr="00C50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A58CE" w14:textId="77777777" w:rsidR="00D216E0" w:rsidRPr="00E1169D" w:rsidRDefault="00D216E0" w:rsidP="00C50100">
            <w:pPr>
              <w:rPr>
                <w:b w:val="0"/>
                <w:bCs w:val="0"/>
              </w:rPr>
            </w:pPr>
            <w:r w:rsidRPr="00E1169D">
              <w:t>Source</w:t>
            </w:r>
          </w:p>
        </w:tc>
        <w:tc>
          <w:tcPr>
            <w:tcW w:w="0" w:type="auto"/>
            <w:hideMark/>
          </w:tcPr>
          <w:p w14:paraId="7BCDB159" w14:textId="77777777" w:rsidR="00D216E0" w:rsidRPr="00E1169D" w:rsidRDefault="00D216E0" w:rsidP="00C50100">
            <w:pPr>
              <w:cnfStyle w:val="100000000000" w:firstRow="1" w:lastRow="0" w:firstColumn="0" w:lastColumn="0" w:oddVBand="0" w:evenVBand="0" w:oddHBand="0" w:evenHBand="0" w:firstRowFirstColumn="0" w:firstRowLastColumn="0" w:lastRowFirstColumn="0" w:lastRowLastColumn="0"/>
              <w:rPr>
                <w:b w:val="0"/>
                <w:bCs w:val="0"/>
              </w:rPr>
            </w:pPr>
            <w:r w:rsidRPr="00E1169D">
              <w:t>Use in code</w:t>
            </w:r>
          </w:p>
        </w:tc>
      </w:tr>
      <w:tr w:rsidR="00D216E0" w:rsidRPr="00E1169D" w14:paraId="4365234C"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7850B6CB" w14:textId="77777777" w:rsidR="00D216E0" w:rsidRPr="00D15C3E" w:rsidRDefault="00D216E0" w:rsidP="00C50100">
            <w:pPr>
              <w:rPr>
                <w:sz w:val="20"/>
                <w:szCs w:val="20"/>
              </w:rPr>
            </w:pPr>
            <w:r w:rsidRPr="00D15C3E">
              <w:rPr>
                <w:sz w:val="20"/>
                <w:szCs w:val="20"/>
              </w:rPr>
              <w:t>EI Statistical Review of World Energy</w:t>
            </w:r>
            <w:r w:rsidRPr="00D15C3E">
              <w:rPr>
                <w:rFonts w:ascii="Arial" w:hAnsi="Arial" w:cs="Arial"/>
                <w:sz w:val="20"/>
                <w:szCs w:val="20"/>
              </w:rPr>
              <w:t> </w:t>
            </w:r>
            <w:r w:rsidRPr="00D15C3E">
              <w:rPr>
                <w:sz w:val="20"/>
                <w:szCs w:val="20"/>
              </w:rPr>
              <w:t>2024</w:t>
            </w:r>
          </w:p>
        </w:tc>
        <w:tc>
          <w:tcPr>
            <w:tcW w:w="0" w:type="auto"/>
            <w:hideMark/>
          </w:tcPr>
          <w:p w14:paraId="4B8188AD"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Fuel production/consumption, fossil &amp; mineral reserves, energy prices.</w:t>
            </w:r>
          </w:p>
        </w:tc>
      </w:tr>
      <w:tr w:rsidR="00D216E0" w:rsidRPr="00E1169D" w14:paraId="79610637"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1A07FB45" w14:textId="77777777" w:rsidR="00D216E0" w:rsidRPr="00D15C3E" w:rsidRDefault="00D216E0" w:rsidP="00C50100">
            <w:pPr>
              <w:rPr>
                <w:sz w:val="20"/>
                <w:szCs w:val="20"/>
              </w:rPr>
            </w:pPr>
            <w:r w:rsidRPr="00D15C3E">
              <w:rPr>
                <w:sz w:val="20"/>
                <w:szCs w:val="20"/>
              </w:rPr>
              <w:t>IEA Critical Minerals 2025 dataset</w:t>
            </w:r>
          </w:p>
        </w:tc>
        <w:tc>
          <w:tcPr>
            <w:tcW w:w="0" w:type="auto"/>
            <w:hideMark/>
          </w:tcPr>
          <w:p w14:paraId="3F3F45AE"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Mineral demand shares (weighting), production &amp; HHI, supply</w:t>
            </w:r>
            <w:r w:rsidRPr="00D15C3E">
              <w:rPr>
                <w:sz w:val="20"/>
                <w:szCs w:val="20"/>
              </w:rPr>
              <w:noBreakHyphen/>
              <w:t>security index.</w:t>
            </w:r>
          </w:p>
        </w:tc>
      </w:tr>
      <w:tr w:rsidR="00D216E0" w:rsidRPr="00E1169D" w14:paraId="63C45FD3"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1A385C4D" w14:textId="77777777" w:rsidR="00D216E0" w:rsidRPr="00D15C3E" w:rsidRDefault="00D216E0" w:rsidP="00C50100">
            <w:pPr>
              <w:rPr>
                <w:sz w:val="20"/>
                <w:szCs w:val="20"/>
              </w:rPr>
            </w:pPr>
            <w:r w:rsidRPr="00D15C3E">
              <w:rPr>
                <w:sz w:val="20"/>
                <w:szCs w:val="20"/>
              </w:rPr>
              <w:t>IEA</w:t>
            </w:r>
            <w:r w:rsidRPr="00D15C3E">
              <w:rPr>
                <w:rFonts w:ascii="Arial" w:hAnsi="Arial" w:cs="Arial"/>
                <w:sz w:val="20"/>
                <w:szCs w:val="20"/>
              </w:rPr>
              <w:t> </w:t>
            </w:r>
            <w:r w:rsidRPr="00D15C3E">
              <w:rPr>
                <w:i/>
                <w:iCs/>
                <w:sz w:val="20"/>
                <w:szCs w:val="20"/>
              </w:rPr>
              <w:t>Energy Technology Perspectives</w:t>
            </w:r>
            <w:r w:rsidRPr="00D15C3E">
              <w:rPr>
                <w:rFonts w:ascii="Arial" w:hAnsi="Arial" w:cs="Arial"/>
                <w:sz w:val="20"/>
                <w:szCs w:val="20"/>
              </w:rPr>
              <w:t> </w:t>
            </w:r>
            <w:r w:rsidRPr="00D15C3E">
              <w:rPr>
                <w:sz w:val="20"/>
                <w:szCs w:val="20"/>
              </w:rPr>
              <w:t>2024</w:t>
            </w:r>
          </w:p>
        </w:tc>
        <w:tc>
          <w:tcPr>
            <w:tcW w:w="0" w:type="auto"/>
            <w:hideMark/>
          </w:tcPr>
          <w:p w14:paraId="7F39B43C"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2035 manufacturing capacity &amp; market shares for solar, wind, batteries, heat</w:t>
            </w:r>
            <w:r w:rsidRPr="00D15C3E">
              <w:rPr>
                <w:sz w:val="20"/>
                <w:szCs w:val="20"/>
              </w:rPr>
              <w:noBreakHyphen/>
              <w:t>pumps, electrolyzers.</w:t>
            </w:r>
          </w:p>
        </w:tc>
      </w:tr>
      <w:tr w:rsidR="00D216E0" w:rsidRPr="00E1169D" w14:paraId="787AE3A6"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7F9D0F92" w14:textId="77777777" w:rsidR="00D216E0" w:rsidRPr="00D15C3E" w:rsidRDefault="00D216E0" w:rsidP="00C50100">
            <w:pPr>
              <w:rPr>
                <w:sz w:val="20"/>
                <w:szCs w:val="20"/>
              </w:rPr>
            </w:pPr>
            <w:r w:rsidRPr="00D15C3E">
              <w:rPr>
                <w:sz w:val="20"/>
                <w:szCs w:val="20"/>
              </w:rPr>
              <w:t>IEA World Energy Outlook</w:t>
            </w:r>
            <w:r w:rsidRPr="00D15C3E">
              <w:rPr>
                <w:rFonts w:ascii="Arial" w:hAnsi="Arial" w:cs="Arial"/>
                <w:sz w:val="20"/>
                <w:szCs w:val="20"/>
              </w:rPr>
              <w:t> </w:t>
            </w:r>
            <w:r w:rsidRPr="00D15C3E">
              <w:rPr>
                <w:sz w:val="20"/>
                <w:szCs w:val="20"/>
              </w:rPr>
              <w:t>2024</w:t>
            </w:r>
          </w:p>
        </w:tc>
        <w:tc>
          <w:tcPr>
            <w:tcW w:w="0" w:type="auto"/>
            <w:hideMark/>
          </w:tcPr>
          <w:p w14:paraId="476B3FC9"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Global demand projections (Stated Policies).</w:t>
            </w:r>
          </w:p>
        </w:tc>
      </w:tr>
      <w:tr w:rsidR="00D216E0" w:rsidRPr="00E1169D" w14:paraId="09B1BBBB"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1D7C4B25" w14:textId="77777777" w:rsidR="00D216E0" w:rsidRPr="00D15C3E" w:rsidRDefault="00D216E0" w:rsidP="00C50100">
            <w:pPr>
              <w:rPr>
                <w:sz w:val="20"/>
                <w:szCs w:val="20"/>
              </w:rPr>
            </w:pPr>
            <w:r w:rsidRPr="00D15C3E">
              <w:rPr>
                <w:sz w:val="20"/>
                <w:szCs w:val="20"/>
              </w:rPr>
              <w:t>BloombergNEF (LCOE 2025, New</w:t>
            </w:r>
            <w:r w:rsidRPr="00D15C3E">
              <w:rPr>
                <w:rFonts w:ascii="Arial" w:hAnsi="Arial" w:cs="Arial"/>
                <w:sz w:val="20"/>
                <w:szCs w:val="20"/>
              </w:rPr>
              <w:t> </w:t>
            </w:r>
            <w:r w:rsidRPr="00D15C3E">
              <w:rPr>
                <w:sz w:val="20"/>
                <w:szCs w:val="20"/>
              </w:rPr>
              <w:t>Energy Outlook 2024, Supply</w:t>
            </w:r>
            <w:r w:rsidRPr="00D15C3E">
              <w:rPr>
                <w:sz w:val="20"/>
                <w:szCs w:val="20"/>
              </w:rPr>
              <w:noBreakHyphen/>
              <w:t>Chain Over</w:t>
            </w:r>
            <w:r w:rsidRPr="00D15C3E">
              <w:rPr>
                <w:sz w:val="20"/>
                <w:szCs w:val="20"/>
              </w:rPr>
              <w:noBreakHyphen/>
              <w:t>capacity 2025, Investment Trends 2025)</w:t>
            </w:r>
          </w:p>
        </w:tc>
        <w:tc>
          <w:tcPr>
            <w:tcW w:w="0" w:type="auto"/>
            <w:hideMark/>
          </w:tcPr>
          <w:p w14:paraId="445B9D63"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Cost competitiveness, demand scenarios, capacity utilization, national clean</w:t>
            </w:r>
            <w:r w:rsidRPr="00D15C3E">
              <w:rPr>
                <w:sz w:val="20"/>
                <w:szCs w:val="20"/>
              </w:rPr>
              <w:noBreakHyphen/>
              <w:t>energy investment.</w:t>
            </w:r>
          </w:p>
        </w:tc>
      </w:tr>
      <w:tr w:rsidR="00D216E0" w:rsidRPr="00E1169D" w14:paraId="5970FF88"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027BA378" w14:textId="77777777" w:rsidR="00D216E0" w:rsidRPr="00D15C3E" w:rsidRDefault="00D216E0" w:rsidP="00C50100">
            <w:pPr>
              <w:rPr>
                <w:sz w:val="20"/>
                <w:szCs w:val="20"/>
              </w:rPr>
            </w:pPr>
            <w:r w:rsidRPr="00D15C3E">
              <w:rPr>
                <w:sz w:val="20"/>
                <w:szCs w:val="20"/>
              </w:rPr>
              <w:t>Harvard Atlas of Economic Complexity</w:t>
            </w:r>
          </w:p>
        </w:tc>
        <w:tc>
          <w:tcPr>
            <w:tcW w:w="0" w:type="auto"/>
            <w:hideMark/>
          </w:tcPr>
          <w:p w14:paraId="5C3ADE5A"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Trade RCA, export size, feasibility distance.</w:t>
            </w:r>
          </w:p>
        </w:tc>
      </w:tr>
      <w:tr w:rsidR="00D216E0" w:rsidRPr="00E1169D" w14:paraId="2DF5B6D2"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5F07F745" w14:textId="77777777" w:rsidR="00D216E0" w:rsidRPr="00D15C3E" w:rsidRDefault="00D216E0" w:rsidP="00C50100">
            <w:pPr>
              <w:rPr>
                <w:sz w:val="20"/>
                <w:szCs w:val="20"/>
              </w:rPr>
            </w:pPr>
            <w:r w:rsidRPr="00D15C3E">
              <w:rPr>
                <w:sz w:val="20"/>
                <w:szCs w:val="20"/>
              </w:rPr>
              <w:t>UN</w:t>
            </w:r>
            <w:r w:rsidRPr="00D15C3E">
              <w:rPr>
                <w:rFonts w:ascii="Arial" w:hAnsi="Arial" w:cs="Arial"/>
                <w:sz w:val="20"/>
                <w:szCs w:val="20"/>
              </w:rPr>
              <w:t> </w:t>
            </w:r>
            <w:r w:rsidRPr="00D15C3E">
              <w:rPr>
                <w:sz w:val="20"/>
                <w:szCs w:val="20"/>
              </w:rPr>
              <w:t>Comtrade 2023</w:t>
            </w:r>
          </w:p>
        </w:tc>
        <w:tc>
          <w:tcPr>
            <w:tcW w:w="0" w:type="auto"/>
            <w:hideMark/>
          </w:tcPr>
          <w:p w14:paraId="4FA5FD5D"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Country</w:t>
            </w:r>
            <w:r w:rsidRPr="00D15C3E">
              <w:rPr>
                <w:sz w:val="20"/>
                <w:szCs w:val="20"/>
              </w:rPr>
              <w:noBreakHyphen/>
              <w:t>level export/import shares for 50+ critical mineral HS codes.</w:t>
            </w:r>
          </w:p>
        </w:tc>
      </w:tr>
      <w:tr w:rsidR="00D216E0" w:rsidRPr="00E1169D" w14:paraId="22184415"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6736E8E" w14:textId="77777777" w:rsidR="00D216E0" w:rsidRPr="00D15C3E" w:rsidRDefault="00D216E0" w:rsidP="00C50100">
            <w:pPr>
              <w:rPr>
                <w:sz w:val="20"/>
                <w:szCs w:val="20"/>
              </w:rPr>
            </w:pPr>
            <w:r w:rsidRPr="00D15C3E">
              <w:rPr>
                <w:sz w:val="20"/>
                <w:szCs w:val="20"/>
              </w:rPr>
              <w:t>Clean Investment Monitor (Rhodium/RMI)</w:t>
            </w:r>
          </w:p>
        </w:tc>
        <w:tc>
          <w:tcPr>
            <w:tcW w:w="0" w:type="auto"/>
            <w:hideMark/>
          </w:tcPr>
          <w:p w14:paraId="55651660"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U.S. quarterly real</w:t>
            </w:r>
            <w:r w:rsidRPr="00D15C3E">
              <w:rPr>
                <w:sz w:val="20"/>
                <w:szCs w:val="20"/>
              </w:rPr>
              <w:noBreakHyphen/>
              <w:t>asset investment by technology.</w:t>
            </w:r>
          </w:p>
        </w:tc>
      </w:tr>
      <w:tr w:rsidR="00D216E0" w:rsidRPr="00E1169D" w14:paraId="039D8286"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17F89FFD" w14:textId="77777777" w:rsidR="00D216E0" w:rsidRPr="00D15C3E" w:rsidRDefault="00D216E0" w:rsidP="00C50100">
            <w:pPr>
              <w:rPr>
                <w:sz w:val="20"/>
                <w:szCs w:val="20"/>
              </w:rPr>
            </w:pPr>
            <w:r w:rsidRPr="00D15C3E">
              <w:rPr>
                <w:sz w:val="20"/>
                <w:szCs w:val="20"/>
              </w:rPr>
              <w:t>World Bank WDI &amp; Doing</w:t>
            </w:r>
            <w:r w:rsidRPr="00D15C3E">
              <w:rPr>
                <w:rFonts w:ascii="Arial" w:hAnsi="Arial" w:cs="Arial"/>
                <w:sz w:val="20"/>
                <w:szCs w:val="20"/>
              </w:rPr>
              <w:t> </w:t>
            </w:r>
            <w:r w:rsidRPr="00D15C3E">
              <w:rPr>
                <w:sz w:val="20"/>
                <w:szCs w:val="20"/>
              </w:rPr>
              <w:t>Business</w:t>
            </w:r>
          </w:p>
        </w:tc>
        <w:tc>
          <w:tcPr>
            <w:tcW w:w="0" w:type="auto"/>
            <w:hideMark/>
          </w:tcPr>
          <w:p w14:paraId="381E75E4"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Macro development, governance &amp; investment</w:t>
            </w:r>
            <w:r w:rsidRPr="00D15C3E">
              <w:rPr>
                <w:sz w:val="20"/>
                <w:szCs w:val="20"/>
              </w:rPr>
              <w:noBreakHyphen/>
              <w:t>climate indices.</w:t>
            </w:r>
          </w:p>
        </w:tc>
      </w:tr>
      <w:tr w:rsidR="00D216E0" w:rsidRPr="00E1169D" w14:paraId="1E1A476D"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4CA50839" w14:textId="77777777" w:rsidR="00D216E0" w:rsidRPr="00D15C3E" w:rsidRDefault="00D216E0" w:rsidP="00C50100">
            <w:pPr>
              <w:rPr>
                <w:sz w:val="20"/>
                <w:szCs w:val="20"/>
              </w:rPr>
            </w:pPr>
            <w:r w:rsidRPr="00D15C3E">
              <w:rPr>
                <w:sz w:val="20"/>
                <w:szCs w:val="20"/>
              </w:rPr>
              <w:t>U.S. Census International Trade API</w:t>
            </w:r>
          </w:p>
        </w:tc>
        <w:tc>
          <w:tcPr>
            <w:tcW w:w="0" w:type="auto"/>
            <w:hideMark/>
          </w:tcPr>
          <w:p w14:paraId="72395FBA"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Monthly U.S. export &amp; import growth by HS</w:t>
            </w:r>
            <w:r w:rsidRPr="00D15C3E">
              <w:rPr>
                <w:sz w:val="20"/>
                <w:szCs w:val="20"/>
              </w:rPr>
              <w:noBreakHyphen/>
              <w:t>4/6 code (friend</w:t>
            </w:r>
            <w:r w:rsidRPr="00D15C3E">
              <w:rPr>
                <w:sz w:val="20"/>
                <w:szCs w:val="20"/>
              </w:rPr>
              <w:noBreakHyphen/>
              <w:t>shoring).</w:t>
            </w:r>
          </w:p>
        </w:tc>
      </w:tr>
      <w:tr w:rsidR="00D216E0" w:rsidRPr="00E1169D" w14:paraId="63CC5363"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7132E6F4" w14:textId="77777777" w:rsidR="00D216E0" w:rsidRPr="00D15C3E" w:rsidRDefault="00D216E0" w:rsidP="00C50100">
            <w:pPr>
              <w:rPr>
                <w:sz w:val="20"/>
                <w:szCs w:val="20"/>
              </w:rPr>
            </w:pPr>
            <w:r w:rsidRPr="00D15C3E">
              <w:rPr>
                <w:sz w:val="20"/>
                <w:szCs w:val="20"/>
              </w:rPr>
              <w:t>BCG Serviceable Addressable Market study</w:t>
            </w:r>
          </w:p>
        </w:tc>
        <w:tc>
          <w:tcPr>
            <w:tcW w:w="0" w:type="auto"/>
            <w:hideMark/>
          </w:tcPr>
          <w:p w14:paraId="48D30DFC"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Long</w:t>
            </w:r>
            <w:r w:rsidRPr="00D15C3E">
              <w:rPr>
                <w:sz w:val="20"/>
                <w:szCs w:val="20"/>
              </w:rPr>
              <w:noBreakHyphen/>
              <w:t>run ($) market size for U.S. firms.</w:t>
            </w:r>
          </w:p>
        </w:tc>
      </w:tr>
      <w:tr w:rsidR="00D216E0" w:rsidRPr="00E1169D" w14:paraId="4054BB6C" w14:textId="77777777" w:rsidTr="00C50100">
        <w:tc>
          <w:tcPr>
            <w:cnfStyle w:val="001000000000" w:firstRow="0" w:lastRow="0" w:firstColumn="1" w:lastColumn="0" w:oddVBand="0" w:evenVBand="0" w:oddHBand="0" w:evenHBand="0" w:firstRowFirstColumn="0" w:firstRowLastColumn="0" w:lastRowFirstColumn="0" w:lastRowLastColumn="0"/>
            <w:tcW w:w="0" w:type="auto"/>
            <w:hideMark/>
          </w:tcPr>
          <w:p w14:paraId="30A7EAD0" w14:textId="77777777" w:rsidR="00D216E0" w:rsidRPr="00D15C3E" w:rsidRDefault="00D216E0" w:rsidP="00C50100">
            <w:pPr>
              <w:rPr>
                <w:sz w:val="20"/>
                <w:szCs w:val="20"/>
              </w:rPr>
            </w:pPr>
            <w:r w:rsidRPr="00D15C3E">
              <w:rPr>
                <w:sz w:val="20"/>
                <w:szCs w:val="20"/>
              </w:rPr>
              <w:t>Misc. bilateral/MoU tracker (internal spreadsheet)</w:t>
            </w:r>
          </w:p>
        </w:tc>
        <w:tc>
          <w:tcPr>
            <w:tcW w:w="0" w:type="auto"/>
            <w:hideMark/>
          </w:tcPr>
          <w:p w14:paraId="34E7EBFB" w14:textId="77777777" w:rsidR="00D216E0" w:rsidRPr="00D15C3E" w:rsidRDefault="00D216E0" w:rsidP="00C50100">
            <w:pPr>
              <w:cnfStyle w:val="000000000000" w:firstRow="0" w:lastRow="0" w:firstColumn="0" w:lastColumn="0" w:oddVBand="0" w:evenVBand="0" w:oddHBand="0" w:evenHBand="0" w:firstRowFirstColumn="0" w:firstRowLastColumn="0" w:lastRowFirstColumn="0" w:lastRowLastColumn="0"/>
              <w:rPr>
                <w:sz w:val="20"/>
                <w:szCs w:val="20"/>
              </w:rPr>
            </w:pPr>
            <w:r w:rsidRPr="00D15C3E">
              <w:rPr>
                <w:sz w:val="20"/>
                <w:szCs w:val="20"/>
              </w:rPr>
              <w:t>Binary score of formal energy agreements.</w:t>
            </w:r>
          </w:p>
        </w:tc>
      </w:tr>
    </w:tbl>
    <w:p w14:paraId="0DA703C4" w14:textId="77777777" w:rsidR="00D216E0" w:rsidRPr="00E1169D" w:rsidRDefault="00D216E0" w:rsidP="00D216E0">
      <w:r w:rsidRPr="00E1169D">
        <w:t>Each dataset is ingested, cleaned and matched to a common (Country,</w:t>
      </w:r>
      <w:r w:rsidRPr="00E1169D">
        <w:rPr>
          <w:rFonts w:ascii="Arial" w:hAnsi="Arial" w:cs="Arial"/>
        </w:rPr>
        <w:t> </w:t>
      </w:r>
      <w:r w:rsidRPr="00E1169D">
        <w:t>Technology,</w:t>
      </w:r>
      <w:r w:rsidRPr="00E1169D">
        <w:rPr>
          <w:rFonts w:ascii="Arial" w:hAnsi="Arial" w:cs="Arial"/>
        </w:rPr>
        <w:t> </w:t>
      </w:r>
      <w:r w:rsidRPr="00E1169D">
        <w:t>Supply</w:t>
      </w:r>
      <w:r w:rsidRPr="00E1169D">
        <w:noBreakHyphen/>
        <w:t>chain) key; missing values are defaulted to zero before indexing to avoid listwise deletion.</w:t>
      </w:r>
    </w:p>
    <w:p w14:paraId="5B482E66" w14:textId="77777777" w:rsidR="00D216E0" w:rsidRPr="00E1169D" w:rsidRDefault="00AC323E" w:rsidP="00D216E0">
      <w:r>
        <w:rPr>
          <w:noProof/>
        </w:rPr>
        <w:pict w14:anchorId="6CCA2AFD">
          <v:rect id="_x0000_i1034" alt="" style="width:468pt;height:.05pt;mso-width-percent:0;mso-height-percent:0;mso-width-percent:0;mso-height-percent:0" o:hralign="center" o:hrstd="t" o:hr="t" fillcolor="#a0a0a0" stroked="f"/>
        </w:pict>
      </w:r>
    </w:p>
    <w:p w14:paraId="7B28E1BB" w14:textId="77777777" w:rsidR="00D216E0" w:rsidRPr="00E1169D" w:rsidRDefault="00D216E0" w:rsidP="00D216E0">
      <w:pPr>
        <w:pStyle w:val="Heading2"/>
      </w:pPr>
      <w:r w:rsidRPr="00E1169D">
        <w:lastRenderedPageBreak/>
        <w:t>7. Reading the Results</w:t>
      </w:r>
    </w:p>
    <w:p w14:paraId="6A68CB9A" w14:textId="77777777" w:rsidR="00D216E0" w:rsidRPr="00E1169D" w:rsidRDefault="00D216E0" w:rsidP="00D216E0">
      <w:pPr>
        <w:numPr>
          <w:ilvl w:val="0"/>
          <w:numId w:val="2"/>
        </w:numPr>
      </w:pPr>
      <w:r w:rsidRPr="00E1169D">
        <w:rPr>
          <w:b/>
          <w:bCs/>
        </w:rPr>
        <w:t>Scores are relative.</w:t>
      </w:r>
      <w:r w:rsidRPr="00E1169D">
        <w:t xml:space="preserve"> A country can score high even if its absolute reserves are modest—as long as peers are lower.</w:t>
      </w:r>
    </w:p>
    <w:p w14:paraId="5157B8C6" w14:textId="77777777" w:rsidR="00D216E0" w:rsidRPr="00E1169D" w:rsidRDefault="00D216E0" w:rsidP="00D216E0">
      <w:pPr>
        <w:numPr>
          <w:ilvl w:val="0"/>
          <w:numId w:val="2"/>
        </w:numPr>
      </w:pPr>
      <w:r w:rsidRPr="00E1169D">
        <w:rPr>
          <w:b/>
          <w:bCs/>
        </w:rPr>
        <w:t>Positive directionality:</w:t>
      </w:r>
      <w:r w:rsidRPr="00E1169D">
        <w:t xml:space="preserve"> higher index</w:t>
      </w:r>
      <w:r w:rsidRPr="00E1169D">
        <w:rPr>
          <w:rFonts w:ascii="Arial" w:hAnsi="Arial" w:cs="Arial"/>
        </w:rPr>
        <w:t> </w:t>
      </w:r>
      <w:r w:rsidRPr="00E1169D">
        <w:t>=</w:t>
      </w:r>
      <w:r w:rsidRPr="00E1169D">
        <w:rPr>
          <w:rFonts w:ascii="Arial" w:hAnsi="Arial" w:cs="Arial"/>
        </w:rPr>
        <w:t> </w:t>
      </w:r>
      <w:r w:rsidRPr="00E1169D">
        <w:t>more secure, more opportunity, stronger partner (after inversions where appropriate).</w:t>
      </w:r>
    </w:p>
    <w:p w14:paraId="2D585800" w14:textId="77777777" w:rsidR="00D216E0" w:rsidRPr="00E1169D" w:rsidRDefault="00D216E0" w:rsidP="00D216E0">
      <w:pPr>
        <w:numPr>
          <w:ilvl w:val="0"/>
          <w:numId w:val="2"/>
        </w:numPr>
      </w:pPr>
      <w:r w:rsidRPr="00E1169D">
        <w:rPr>
          <w:b/>
          <w:bCs/>
        </w:rPr>
        <w:t>Composite “lanes.”</w:t>
      </w:r>
      <w:r w:rsidRPr="00E1169D">
        <w:t xml:space="preserve"> The final PSI map classifies partners into </w:t>
      </w:r>
      <w:r w:rsidRPr="00E1169D">
        <w:rPr>
          <w:i/>
          <w:iCs/>
        </w:rPr>
        <w:t>Friend</w:t>
      </w:r>
      <w:r w:rsidRPr="00E1169D">
        <w:rPr>
          <w:i/>
          <w:iCs/>
        </w:rPr>
        <w:noBreakHyphen/>
        <w:t>shore</w:t>
      </w:r>
      <w:r w:rsidRPr="00E1169D">
        <w:t xml:space="preserve">, </w:t>
      </w:r>
      <w:r w:rsidRPr="00E1169D">
        <w:rPr>
          <w:i/>
          <w:iCs/>
        </w:rPr>
        <w:t>On</w:t>
      </w:r>
      <w:r w:rsidRPr="00E1169D">
        <w:rPr>
          <w:i/>
          <w:iCs/>
        </w:rPr>
        <w:noBreakHyphen/>
        <w:t>shore substitute</w:t>
      </w:r>
      <w:r w:rsidRPr="00E1169D">
        <w:t xml:space="preserve">, </w:t>
      </w:r>
      <w:r w:rsidRPr="00E1169D">
        <w:rPr>
          <w:i/>
          <w:iCs/>
        </w:rPr>
        <w:t>Targeted Development Assistance</w:t>
      </w:r>
      <w:r w:rsidRPr="00E1169D">
        <w:t xml:space="preserve"> or </w:t>
      </w:r>
      <w:r w:rsidRPr="00E1169D">
        <w:rPr>
          <w:i/>
          <w:iCs/>
        </w:rPr>
        <w:t>Monitor/Niche</w:t>
      </w:r>
      <w:r w:rsidRPr="00E1169D">
        <w:t xml:space="preserve">. These are </w:t>
      </w:r>
      <w:r w:rsidRPr="00E1169D">
        <w:rPr>
          <w:b/>
          <w:bCs/>
        </w:rPr>
        <w:t>decision categories</w:t>
      </w:r>
      <w:r w:rsidRPr="00E1169D">
        <w:t xml:space="preserve"> for financing and diplomatic engagement rather than performance grades.</w:t>
      </w:r>
    </w:p>
    <w:p w14:paraId="3134CA33" w14:textId="77777777" w:rsidR="00D216E0" w:rsidRPr="00E1169D" w:rsidRDefault="00AC323E" w:rsidP="00D216E0">
      <w:r>
        <w:rPr>
          <w:noProof/>
        </w:rPr>
        <w:pict w14:anchorId="22E024C6">
          <v:rect id="_x0000_i1035" alt="" style="width:468pt;height:.05pt;mso-width-percent:0;mso-height-percent:0;mso-width-percent:0;mso-height-percent:0" o:hralign="center" o:hrstd="t" o:hr="t" fillcolor="#a0a0a0" stroked="f"/>
        </w:pict>
      </w:r>
    </w:p>
    <w:p w14:paraId="513DC3F8" w14:textId="77777777" w:rsidR="00D216E0" w:rsidRPr="00E1169D" w:rsidRDefault="00D216E0" w:rsidP="00D216E0">
      <w:pPr>
        <w:pStyle w:val="Heading2"/>
      </w:pPr>
      <w:r w:rsidRPr="00E1169D">
        <w:t>8. Recommendations for Policymakers</w:t>
      </w:r>
    </w:p>
    <w:p w14:paraId="4993D8D6" w14:textId="77777777" w:rsidR="00D216E0" w:rsidRPr="00E1169D" w:rsidRDefault="00D216E0" w:rsidP="00D216E0">
      <w:pPr>
        <w:numPr>
          <w:ilvl w:val="0"/>
          <w:numId w:val="3"/>
        </w:numPr>
      </w:pPr>
      <w:r w:rsidRPr="00E1169D">
        <w:rPr>
          <w:b/>
          <w:bCs/>
        </w:rPr>
        <w:t>Stress</w:t>
      </w:r>
      <w:r w:rsidRPr="00E1169D">
        <w:rPr>
          <w:b/>
          <w:bCs/>
        </w:rPr>
        <w:noBreakHyphen/>
        <w:t>test the weights.</w:t>
      </w:r>
      <w:r w:rsidRPr="00E1169D">
        <w:t xml:space="preserve"> If geopolitical risk trumps economics, increase the ES weight and rerun— the code is parameterised for easy re</w:t>
      </w:r>
      <w:r w:rsidRPr="00E1169D">
        <w:noBreakHyphen/>
        <w:t>calibration.</w:t>
      </w:r>
    </w:p>
    <w:p w14:paraId="47F2581E" w14:textId="77777777" w:rsidR="00D216E0" w:rsidRPr="00E1169D" w:rsidRDefault="00D216E0" w:rsidP="00D216E0">
      <w:pPr>
        <w:numPr>
          <w:ilvl w:val="0"/>
          <w:numId w:val="3"/>
        </w:numPr>
      </w:pPr>
      <w:r w:rsidRPr="00E1169D">
        <w:rPr>
          <w:b/>
          <w:bCs/>
        </w:rPr>
        <w:t>Use stage</w:t>
      </w:r>
      <w:r w:rsidRPr="00E1169D">
        <w:rPr>
          <w:b/>
          <w:bCs/>
        </w:rPr>
        <w:noBreakHyphen/>
        <w:t>specific levers.</w:t>
      </w:r>
      <w:r w:rsidRPr="00E1169D">
        <w:t xml:space="preserve"> A partner may be strong downstream (assembly) but weak upstream (raw materials); tailor financing instruments accordingly.</w:t>
      </w:r>
    </w:p>
    <w:p w14:paraId="372B5097" w14:textId="77777777" w:rsidR="00D216E0" w:rsidRPr="00E1169D" w:rsidRDefault="00D216E0" w:rsidP="00D216E0">
      <w:pPr>
        <w:numPr>
          <w:ilvl w:val="0"/>
          <w:numId w:val="3"/>
        </w:numPr>
      </w:pPr>
      <w:r w:rsidRPr="00E1169D">
        <w:rPr>
          <w:b/>
          <w:bCs/>
        </w:rPr>
        <w:t>Look beyond the headline score.</w:t>
      </w:r>
      <w:r w:rsidRPr="00E1169D">
        <w:t xml:space="preserve"> Drill into the sub</w:t>
      </w:r>
      <w:r w:rsidRPr="00E1169D">
        <w:noBreakHyphen/>
        <w:t xml:space="preserve">indices to understand </w:t>
      </w:r>
      <w:r w:rsidRPr="00E1169D">
        <w:rPr>
          <w:i/>
          <w:iCs/>
        </w:rPr>
        <w:t>why</w:t>
      </w:r>
      <w:r w:rsidRPr="00E1169D">
        <w:t xml:space="preserve"> a country scores low— e.g., poor import balance vs. limited reserves—before prescribing policy.</w:t>
      </w:r>
    </w:p>
    <w:p w14:paraId="13BF7498" w14:textId="77777777" w:rsidR="00D216E0" w:rsidRPr="00E1169D" w:rsidRDefault="00D216E0" w:rsidP="00D216E0">
      <w:pPr>
        <w:numPr>
          <w:ilvl w:val="0"/>
          <w:numId w:val="3"/>
        </w:numPr>
      </w:pPr>
      <w:r w:rsidRPr="00E1169D">
        <w:rPr>
          <w:b/>
          <w:bCs/>
        </w:rPr>
        <w:t>Update quarterly.</w:t>
      </w:r>
      <w:r w:rsidRPr="00E1169D">
        <w:t xml:space="preserve"> Several inputs (U.S. trade, investment) refresh frequently; the percentile logic ensures new data slots in without re</w:t>
      </w:r>
      <w:r w:rsidRPr="00E1169D">
        <w:noBreakHyphen/>
        <w:t>baselining.</w:t>
      </w:r>
    </w:p>
    <w:p w14:paraId="32E8A67D" w14:textId="77777777" w:rsidR="00D216E0" w:rsidRPr="00E1169D" w:rsidRDefault="00AC323E" w:rsidP="00D216E0">
      <w:r>
        <w:rPr>
          <w:noProof/>
        </w:rPr>
        <w:pict w14:anchorId="0BEF72F6">
          <v:rect id="_x0000_i1036" alt="" style="width:468pt;height:.05pt;mso-width-percent:0;mso-height-percent:0;mso-width-percent:0;mso-height-percent:0" o:hralign="center" o:hrstd="t" o:hr="t" fillcolor="#a0a0a0" stroked="f"/>
        </w:pict>
      </w:r>
    </w:p>
    <w:p w14:paraId="2247D6E3" w14:textId="77777777" w:rsidR="00D216E0" w:rsidRPr="00E1169D" w:rsidRDefault="00D216E0" w:rsidP="00D216E0">
      <w:r w:rsidRPr="00E1169D">
        <w:t>This appendix aims to make the statistical scaffolding transparent so that end</w:t>
      </w:r>
      <w:r w:rsidRPr="00E1169D">
        <w:noBreakHyphen/>
        <w:t xml:space="preserve">users—from analysts to senior officials—can </w:t>
      </w:r>
      <w:r w:rsidRPr="00E1169D">
        <w:rPr>
          <w:b/>
          <w:bCs/>
        </w:rPr>
        <w:t>replicate, audit and adapt</w:t>
      </w:r>
      <w:r w:rsidRPr="00E1169D">
        <w:t xml:space="preserve"> the framework as new data or priorities emerge.</w:t>
      </w:r>
    </w:p>
    <w:p w14:paraId="390B9543" w14:textId="77777777" w:rsidR="00D216E0" w:rsidRDefault="00D216E0" w:rsidP="00D216E0"/>
    <w:p w14:paraId="0C69FA2B" w14:textId="77777777" w:rsidR="00D216E0" w:rsidRDefault="00D216E0" w:rsidP="00D216E0">
      <w:r>
        <w:br w:type="page"/>
      </w:r>
    </w:p>
    <w:p w14:paraId="16DA76DD" w14:textId="4EF3B6E4" w:rsidR="00D216E0" w:rsidRDefault="00D216E0"/>
    <w:sectPr w:rsidR="00D216E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deshna Mohanty" w:date="2025-07-01T23:51:00Z" w:initials="SM">
    <w:p w14:paraId="57DC1D58" w14:textId="77777777" w:rsidR="00D216E0" w:rsidRDefault="00D216E0" w:rsidP="001500DF">
      <w:r>
        <w:rPr>
          <w:rStyle w:val="CommentReference"/>
        </w:rPr>
        <w:annotationRef/>
      </w:r>
      <w:r>
        <w:rPr>
          <w:sz w:val="20"/>
          <w:szCs w:val="20"/>
        </w:rPr>
        <w:fldChar w:fldCharType="begin"/>
      </w:r>
      <w:r>
        <w:rPr>
          <w:sz w:val="20"/>
          <w:szCs w:val="20"/>
        </w:rPr>
        <w:instrText>HYPERLINK "mailto:jon.ekberg@rmi.org"</w:instrText>
      </w:r>
      <w:r>
        <w:rPr>
          <w:sz w:val="20"/>
          <w:szCs w:val="20"/>
        </w:rPr>
      </w:r>
      <w:bookmarkStart w:id="2" w:name="_@_4EF6C484F1E82447B02ED79C10B35281Z"/>
      <w:r>
        <w:rPr>
          <w:sz w:val="20"/>
          <w:szCs w:val="20"/>
        </w:rPr>
        <w:fldChar w:fldCharType="separate"/>
      </w:r>
      <w:bookmarkEnd w:id="2"/>
      <w:r w:rsidRPr="001500DF">
        <w:rPr>
          <w:rStyle w:val="Mention"/>
          <w:noProof/>
          <w:sz w:val="20"/>
          <w:szCs w:val="20"/>
        </w:rPr>
        <w:t>@Jon Ekberg</w:t>
      </w:r>
      <w:r>
        <w:rPr>
          <w:sz w:val="20"/>
          <w:szCs w:val="20"/>
        </w:rPr>
        <w:fldChar w:fldCharType="end"/>
      </w:r>
      <w:r>
        <w:rPr>
          <w:sz w:val="20"/>
          <w:szCs w:val="20"/>
        </w:rPr>
        <w:t xml:space="preserve"> same request as others for this graphic </w:t>
      </w:r>
      <w:hyperlink r:id="rId1" w:history="1">
        <w:r w:rsidRPr="000C543B">
          <w:rPr>
            <w:rStyle w:val="Hyperlink"/>
            <w:sz w:val="20"/>
            <w:szCs w:val="20"/>
          </w:rPr>
          <w:t>https://www.datawrapper.de/_/fbWMf/?v=2</w:t>
        </w:r>
      </w:hyperlink>
    </w:p>
  </w:comment>
  <w:comment w:id="0" w:author="Jon Ekberg" w:date="2025-07-10T16:18:00Z" w:initials="JE">
    <w:p w14:paraId="325E9309" w14:textId="77777777" w:rsidR="00D216E0" w:rsidRDefault="00D216E0" w:rsidP="006258D7">
      <w:r>
        <w:rPr>
          <w:rStyle w:val="CommentReference"/>
        </w:rPr>
        <w:annotationRef/>
      </w:r>
      <w:hyperlink r:id="rId2" w:anchor="/fbWMf" w:history="1">
        <w:r w:rsidRPr="0001257A">
          <w:rPr>
            <w:rStyle w:val="Hyperlink"/>
            <w:sz w:val="20"/>
            <w:szCs w:val="20"/>
          </w:rPr>
          <w:t>https://app.datawrapper.de/archive/team/usprogram/299047#/fbWMf</w:t>
        </w:r>
      </w:hyperlink>
    </w:p>
  </w:comment>
  <w:comment w:id="4" w:author="Sudeshna Mohanty" w:date="2025-07-02T00:31:00Z" w:initials="SM">
    <w:p w14:paraId="713B807B" w14:textId="77777777" w:rsidR="00D216E0" w:rsidRDefault="00D216E0" w:rsidP="00B144F5">
      <w:r>
        <w:rPr>
          <w:rStyle w:val="CommentReference"/>
        </w:rPr>
        <w:annotationRef/>
      </w:r>
      <w:r>
        <w:rPr>
          <w:sz w:val="20"/>
          <w:szCs w:val="20"/>
        </w:rPr>
        <w:fldChar w:fldCharType="begin"/>
      </w:r>
      <w:r>
        <w:rPr>
          <w:sz w:val="20"/>
          <w:szCs w:val="20"/>
        </w:rPr>
        <w:instrText>HYPERLINK "mailto:jon.ekberg@rmi.org"</w:instrText>
      </w:r>
      <w:r>
        <w:rPr>
          <w:sz w:val="20"/>
          <w:szCs w:val="20"/>
        </w:rPr>
      </w:r>
      <w:bookmarkStart w:id="5" w:name="_@_2632EF2B1E7F6146A115DABEA548EF80Z"/>
      <w:r>
        <w:rPr>
          <w:sz w:val="20"/>
          <w:szCs w:val="20"/>
        </w:rPr>
        <w:fldChar w:fldCharType="separate"/>
      </w:r>
      <w:bookmarkEnd w:id="5"/>
      <w:r w:rsidRPr="00B144F5">
        <w:rPr>
          <w:rStyle w:val="Mention"/>
          <w:noProof/>
          <w:sz w:val="20"/>
          <w:szCs w:val="20"/>
        </w:rPr>
        <w:t>@Jon Ekberg</w:t>
      </w:r>
      <w:r>
        <w:rPr>
          <w:sz w:val="20"/>
          <w:szCs w:val="20"/>
        </w:rPr>
        <w:fldChar w:fldCharType="end"/>
      </w:r>
      <w:r>
        <w:rPr>
          <w:sz w:val="20"/>
          <w:szCs w:val="20"/>
        </w:rPr>
        <w:t xml:space="preserve"> same request here: </w:t>
      </w:r>
      <w:hyperlink r:id="rId3" w:history="1">
        <w:r w:rsidRPr="004866DD">
          <w:rPr>
            <w:rStyle w:val="Hyperlink"/>
            <w:sz w:val="20"/>
            <w:szCs w:val="20"/>
          </w:rPr>
          <w:t>https://www.datawrapper.de/_/uYuu2/</w:t>
        </w:r>
      </w:hyperlink>
    </w:p>
  </w:comment>
  <w:comment w:id="3" w:author="Jon Ekberg" w:date="2025-07-10T16:19:00Z" w:initials="JE">
    <w:p w14:paraId="12BCE214" w14:textId="77777777" w:rsidR="00D216E0" w:rsidRDefault="00D216E0" w:rsidP="00383BD0">
      <w:r>
        <w:rPr>
          <w:rStyle w:val="CommentReference"/>
        </w:rPr>
        <w:annotationRef/>
      </w:r>
      <w:hyperlink r:id="rId4" w:anchor="/uYuu2" w:history="1">
        <w:r w:rsidRPr="00155632">
          <w:rPr>
            <w:rStyle w:val="Hyperlink"/>
            <w:sz w:val="20"/>
            <w:szCs w:val="20"/>
          </w:rPr>
          <w:t>https://app.datawrapper.de/archive/team/usprogram/299047#/uYuu2</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DC1D58" w15:done="1"/>
  <w15:commentEx w15:paraId="325E9309" w15:done="0"/>
  <w15:commentEx w15:paraId="713B807B" w15:done="1"/>
  <w15:commentEx w15:paraId="12BCE2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6E59B7" w16cex:dateUtc="2025-07-02T05:51:00Z"/>
  <w16cex:commentExtensible w16cex:durableId="5FA6F454" w16cex:dateUtc="2025-07-10T21:18:00Z"/>
  <w16cex:commentExtensible w16cex:durableId="3FDD0896" w16cex:dateUtc="2025-07-02T06:31:00Z"/>
  <w16cex:commentExtensible w16cex:durableId="4E2C41C7" w16cex:dateUtc="2025-07-10T2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DC1D58" w16cid:durableId="156E59B7"/>
  <w16cid:commentId w16cid:paraId="325E9309" w16cid:durableId="5FA6F454"/>
  <w16cid:commentId w16cid:paraId="713B807B" w16cid:durableId="3FDD0896"/>
  <w16cid:commentId w16cid:paraId="12BCE214" w16cid:durableId="4E2C41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24DD" w14:textId="77777777" w:rsidR="00AC323E" w:rsidRDefault="00AC323E" w:rsidP="00D216E0">
      <w:pPr>
        <w:spacing w:after="0" w:line="240" w:lineRule="auto"/>
      </w:pPr>
      <w:r>
        <w:separator/>
      </w:r>
    </w:p>
  </w:endnote>
  <w:endnote w:type="continuationSeparator" w:id="0">
    <w:p w14:paraId="537A7284" w14:textId="77777777" w:rsidR="00AC323E" w:rsidRDefault="00AC323E" w:rsidP="00D216E0">
      <w:pPr>
        <w:spacing w:after="0" w:line="240" w:lineRule="auto"/>
      </w:pPr>
      <w:r>
        <w:continuationSeparator/>
      </w:r>
    </w:p>
  </w:endnote>
  <w:endnote w:id="1">
    <w:p w14:paraId="7339C240" w14:textId="77777777" w:rsidR="00D216E0" w:rsidRDefault="00D216E0" w:rsidP="00D216E0">
      <w:pPr>
        <w:pStyle w:val="p1"/>
      </w:pPr>
      <w:r>
        <w:rPr>
          <w:rStyle w:val="EndnoteReference"/>
        </w:rPr>
        <w:endnoteRef/>
      </w:r>
      <w:r>
        <w:t xml:space="preserve"> Quill Robinson and Ryan Featherston, “Assessing the United States’ Solar Power Play,” Center for Strategic and International Studies, July 1 2024, </w:t>
      </w:r>
      <w:r w:rsidRPr="00F9002A">
        <w:t>https://www.csis.org/analysis/assessing-united-states-solar-power-play</w:t>
      </w:r>
      <w:r>
        <w:t>.</w:t>
      </w:r>
      <w:r>
        <w:rPr>
          <w:rStyle w:val="apple-converted-space"/>
          <w:rFonts w:eastAsiaTheme="majorEastAsia"/>
        </w:rPr>
        <w:t> </w:t>
      </w:r>
    </w:p>
  </w:endnote>
  <w:endnote w:id="2">
    <w:p w14:paraId="09DDF8CE" w14:textId="77777777" w:rsidR="00D216E0" w:rsidRDefault="00D216E0" w:rsidP="00D216E0">
      <w:pPr>
        <w:pStyle w:val="p1"/>
      </w:pPr>
      <w:r>
        <w:rPr>
          <w:rStyle w:val="EndnoteReference"/>
        </w:rPr>
        <w:endnoteRef/>
      </w:r>
      <w:r>
        <w:t xml:space="preserve"> World Nuclear Association, </w:t>
      </w:r>
      <w:r>
        <w:rPr>
          <w:i/>
          <w:iCs/>
        </w:rPr>
        <w:t>US Nuclear Fuel Cycle</w:t>
      </w:r>
      <w:r>
        <w:t xml:space="preserve">, World Nuclear Association, November 20 2024, </w:t>
      </w:r>
      <w:r w:rsidRPr="00B31AC9">
        <w:t>https://world-nuclear.org/information-library/country-profiles/countries-t-z/usa-nuclear-fuel-cycle</w:t>
      </w:r>
      <w:r>
        <w:t>.</w:t>
      </w:r>
      <w:r>
        <w:rPr>
          <w:rStyle w:val="apple-converted-space"/>
          <w:rFonts w:eastAsiaTheme="majorEastAsia"/>
        </w:rPr>
        <w:t> </w:t>
      </w:r>
    </w:p>
  </w:endnote>
  <w:endnote w:id="3">
    <w:p w14:paraId="239EAB83" w14:textId="77777777" w:rsidR="00D216E0" w:rsidRDefault="00D216E0" w:rsidP="00D216E0">
      <w:pPr>
        <w:pStyle w:val="p1"/>
      </w:pPr>
      <w:r>
        <w:rPr>
          <w:rStyle w:val="EndnoteReference"/>
        </w:rPr>
        <w:endnoteRef/>
      </w:r>
      <w:r>
        <w:t xml:space="preserve"> International Energy Agency, </w:t>
      </w:r>
      <w:r>
        <w:rPr>
          <w:i/>
          <w:iCs/>
        </w:rPr>
        <w:t>Solar PV Global Supply Chains</w:t>
      </w:r>
      <w:r>
        <w:t xml:space="preserve">, International Energy Agency, July 2022, </w:t>
      </w:r>
      <w:r w:rsidRPr="00C44C5E">
        <w:t>https://www.iea.org/reports/solar-pv-global-supply-chains/executive-summary</w:t>
      </w:r>
      <w:r>
        <w:t>.</w:t>
      </w:r>
    </w:p>
    <w:p w14:paraId="19268EAB" w14:textId="77777777" w:rsidR="00D216E0" w:rsidRDefault="00D216E0" w:rsidP="00D216E0">
      <w:pPr>
        <w:pStyle w:val="EndnoteText"/>
      </w:pPr>
    </w:p>
  </w:endnote>
  <w:endnote w:id="4">
    <w:p w14:paraId="773BF3EF" w14:textId="77777777" w:rsidR="00D216E0" w:rsidRDefault="00D216E0" w:rsidP="00D216E0">
      <w:pPr>
        <w:pStyle w:val="p1"/>
      </w:pPr>
      <w:r>
        <w:rPr>
          <w:rStyle w:val="EndnoteReference"/>
        </w:rPr>
        <w:endnoteRef/>
      </w:r>
      <w:r>
        <w:t xml:space="preserve"> Allan, </w:t>
      </w:r>
      <w:r>
        <w:rPr>
          <w:i/>
          <w:iCs/>
        </w:rPr>
        <w:t>How the U.S. Can Stop Losing the Race for Clean Energy</w:t>
      </w:r>
      <w:r>
        <w:t>, 2025.</w:t>
      </w:r>
    </w:p>
    <w:p w14:paraId="520A1268" w14:textId="77777777" w:rsidR="00D216E0" w:rsidRDefault="00D216E0" w:rsidP="00D216E0">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3774" w14:textId="77777777" w:rsidR="00AC323E" w:rsidRDefault="00AC323E" w:rsidP="00D216E0">
      <w:pPr>
        <w:spacing w:after="0" w:line="240" w:lineRule="auto"/>
      </w:pPr>
      <w:r>
        <w:separator/>
      </w:r>
    </w:p>
  </w:footnote>
  <w:footnote w:type="continuationSeparator" w:id="0">
    <w:p w14:paraId="0461F81C" w14:textId="77777777" w:rsidR="00AC323E" w:rsidRDefault="00AC323E" w:rsidP="00D21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44B5"/>
    <w:multiLevelType w:val="multilevel"/>
    <w:tmpl w:val="0DD4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8724F9"/>
    <w:multiLevelType w:val="multilevel"/>
    <w:tmpl w:val="1730D5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981A85"/>
    <w:multiLevelType w:val="hybridMultilevel"/>
    <w:tmpl w:val="2CB47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B371E3"/>
    <w:multiLevelType w:val="multilevel"/>
    <w:tmpl w:val="B80AD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8E4201"/>
    <w:multiLevelType w:val="hybridMultilevel"/>
    <w:tmpl w:val="A8F8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CD6CA1"/>
    <w:multiLevelType w:val="multilevel"/>
    <w:tmpl w:val="3632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651BF"/>
    <w:multiLevelType w:val="hybridMultilevel"/>
    <w:tmpl w:val="92A09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739802">
    <w:abstractNumId w:val="3"/>
  </w:num>
  <w:num w:numId="2" w16cid:durableId="1932932880">
    <w:abstractNumId w:val="5"/>
  </w:num>
  <w:num w:numId="3" w16cid:durableId="878472419">
    <w:abstractNumId w:val="0"/>
  </w:num>
  <w:num w:numId="4" w16cid:durableId="264848836">
    <w:abstractNumId w:val="1"/>
  </w:num>
  <w:num w:numId="5" w16cid:durableId="1913075908">
    <w:abstractNumId w:val="6"/>
  </w:num>
  <w:num w:numId="6" w16cid:durableId="932517207">
    <w:abstractNumId w:val="2"/>
  </w:num>
  <w:num w:numId="7" w16cid:durableId="78164883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deshna Mohanty">
    <w15:presenceInfo w15:providerId="AD" w15:userId="S::smohanty@RMI.org::e6469327-78db-4ffb-b446-b0bffa9f7b83"/>
  </w15:person>
  <w15:person w15:author="Jon Ekberg">
    <w15:presenceInfo w15:providerId="AD" w15:userId="S::jon.ekberg@rmi.org::fd5cd5a6-8698-4b68-aa8e-14ea29bb53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E0"/>
    <w:rsid w:val="00AC323E"/>
    <w:rsid w:val="00B60CD7"/>
    <w:rsid w:val="00CF2DF5"/>
    <w:rsid w:val="00D216E0"/>
    <w:rsid w:val="00D93952"/>
    <w:rsid w:val="00D95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4F1D"/>
  <w15:chartTrackingRefBased/>
  <w15:docId w15:val="{BADF4CC1-AB23-4F9E-81CC-E4F2BEA0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6E0"/>
  </w:style>
  <w:style w:type="paragraph" w:styleId="Heading1">
    <w:name w:val="heading 1"/>
    <w:basedOn w:val="Normal"/>
    <w:next w:val="Normal"/>
    <w:link w:val="Heading1Char"/>
    <w:uiPriority w:val="9"/>
    <w:qFormat/>
    <w:rsid w:val="00D21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1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1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E0"/>
    <w:rPr>
      <w:rFonts w:eastAsiaTheme="majorEastAsia" w:cstheme="majorBidi"/>
      <w:color w:val="272727" w:themeColor="text1" w:themeTint="D8"/>
    </w:rPr>
  </w:style>
  <w:style w:type="paragraph" w:styleId="Title">
    <w:name w:val="Title"/>
    <w:basedOn w:val="Normal"/>
    <w:next w:val="Normal"/>
    <w:link w:val="TitleChar"/>
    <w:uiPriority w:val="10"/>
    <w:qFormat/>
    <w:rsid w:val="00D21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6E0"/>
    <w:pPr>
      <w:spacing w:before="160"/>
      <w:jc w:val="center"/>
    </w:pPr>
    <w:rPr>
      <w:i/>
      <w:iCs/>
      <w:color w:val="404040" w:themeColor="text1" w:themeTint="BF"/>
    </w:rPr>
  </w:style>
  <w:style w:type="character" w:customStyle="1" w:styleId="QuoteChar">
    <w:name w:val="Quote Char"/>
    <w:basedOn w:val="DefaultParagraphFont"/>
    <w:link w:val="Quote"/>
    <w:uiPriority w:val="29"/>
    <w:rsid w:val="00D216E0"/>
    <w:rPr>
      <w:i/>
      <w:iCs/>
      <w:color w:val="404040" w:themeColor="text1" w:themeTint="BF"/>
    </w:rPr>
  </w:style>
  <w:style w:type="paragraph" w:styleId="ListParagraph">
    <w:name w:val="List Paragraph"/>
    <w:basedOn w:val="Normal"/>
    <w:uiPriority w:val="34"/>
    <w:qFormat/>
    <w:rsid w:val="00D216E0"/>
    <w:pPr>
      <w:ind w:left="720"/>
      <w:contextualSpacing/>
    </w:pPr>
  </w:style>
  <w:style w:type="character" w:styleId="IntenseEmphasis">
    <w:name w:val="Intense Emphasis"/>
    <w:basedOn w:val="DefaultParagraphFont"/>
    <w:uiPriority w:val="21"/>
    <w:qFormat/>
    <w:rsid w:val="00D216E0"/>
    <w:rPr>
      <w:i/>
      <w:iCs/>
      <w:color w:val="0F4761" w:themeColor="accent1" w:themeShade="BF"/>
    </w:rPr>
  </w:style>
  <w:style w:type="paragraph" w:styleId="IntenseQuote">
    <w:name w:val="Intense Quote"/>
    <w:basedOn w:val="Normal"/>
    <w:next w:val="Normal"/>
    <w:link w:val="IntenseQuoteChar"/>
    <w:uiPriority w:val="30"/>
    <w:qFormat/>
    <w:rsid w:val="00D21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6E0"/>
    <w:rPr>
      <w:i/>
      <w:iCs/>
      <w:color w:val="0F4761" w:themeColor="accent1" w:themeShade="BF"/>
    </w:rPr>
  </w:style>
  <w:style w:type="character" w:styleId="IntenseReference">
    <w:name w:val="Intense Reference"/>
    <w:basedOn w:val="DefaultParagraphFont"/>
    <w:uiPriority w:val="32"/>
    <w:qFormat/>
    <w:rsid w:val="00D216E0"/>
    <w:rPr>
      <w:b/>
      <w:bCs/>
      <w:smallCaps/>
      <w:color w:val="0F4761" w:themeColor="accent1" w:themeShade="BF"/>
      <w:spacing w:val="5"/>
    </w:rPr>
  </w:style>
  <w:style w:type="character" w:styleId="Hyperlink">
    <w:name w:val="Hyperlink"/>
    <w:basedOn w:val="DefaultParagraphFont"/>
    <w:uiPriority w:val="99"/>
    <w:unhideWhenUsed/>
    <w:rsid w:val="00D216E0"/>
    <w:rPr>
      <w:color w:val="467886" w:themeColor="hyperlink"/>
      <w:u w:val="single"/>
    </w:rPr>
  </w:style>
  <w:style w:type="character" w:styleId="CommentReference">
    <w:name w:val="annotation reference"/>
    <w:basedOn w:val="DefaultParagraphFont"/>
    <w:uiPriority w:val="99"/>
    <w:semiHidden/>
    <w:unhideWhenUsed/>
    <w:rsid w:val="00D216E0"/>
    <w:rPr>
      <w:sz w:val="16"/>
      <w:szCs w:val="16"/>
    </w:rPr>
  </w:style>
  <w:style w:type="paragraph" w:styleId="EndnoteText">
    <w:name w:val="endnote text"/>
    <w:basedOn w:val="Normal"/>
    <w:link w:val="EndnoteTextChar"/>
    <w:uiPriority w:val="99"/>
    <w:semiHidden/>
    <w:unhideWhenUsed/>
    <w:rsid w:val="00D216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16E0"/>
    <w:rPr>
      <w:sz w:val="20"/>
      <w:szCs w:val="20"/>
    </w:rPr>
  </w:style>
  <w:style w:type="character" w:styleId="EndnoteReference">
    <w:name w:val="endnote reference"/>
    <w:basedOn w:val="DefaultParagraphFont"/>
    <w:uiPriority w:val="99"/>
    <w:semiHidden/>
    <w:unhideWhenUsed/>
    <w:rsid w:val="00D216E0"/>
    <w:rPr>
      <w:vertAlign w:val="superscript"/>
    </w:rPr>
  </w:style>
  <w:style w:type="character" w:styleId="Mention">
    <w:name w:val="Mention"/>
    <w:basedOn w:val="DefaultParagraphFont"/>
    <w:uiPriority w:val="99"/>
    <w:unhideWhenUsed/>
    <w:rsid w:val="00D216E0"/>
    <w:rPr>
      <w:color w:val="2B579A"/>
      <w:shd w:val="clear" w:color="auto" w:fill="E1DFDD"/>
    </w:rPr>
  </w:style>
  <w:style w:type="table" w:styleId="GridTable1Light-Accent2">
    <w:name w:val="Grid Table 1 Light Accent 2"/>
    <w:basedOn w:val="TableNormal"/>
    <w:uiPriority w:val="46"/>
    <w:rsid w:val="00D216E0"/>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customStyle="1" w:styleId="p1">
    <w:name w:val="p1"/>
    <w:basedOn w:val="Normal"/>
    <w:rsid w:val="00D216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16E0"/>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datawrapper.de/_/uYuu2/" TargetMode="External"/><Relationship Id="rId2" Type="http://schemas.openxmlformats.org/officeDocument/2006/relationships/hyperlink" Target="https://app.datawrapper.de/archive/team/usprogram/299047" TargetMode="External"/><Relationship Id="rId1" Type="http://schemas.openxmlformats.org/officeDocument/2006/relationships/hyperlink" Target="https://www.datawrapper.de/_/fbWMf/?v=2" TargetMode="External"/><Relationship Id="rId4" Type="http://schemas.openxmlformats.org/officeDocument/2006/relationships/hyperlink" Target="https://app.datawrapper.de/archive/team/usprogram/299047"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3180</Words>
  <Characters>18131</Characters>
  <Application>Microsoft Office Word</Application>
  <DocSecurity>0</DocSecurity>
  <Lines>421</Lines>
  <Paragraphs>256</Paragraphs>
  <ScaleCrop>false</ScaleCrop>
  <Company/>
  <LinksUpToDate>false</LinksUpToDate>
  <CharactersWithSpaces>21055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Lachlan Carey</dc:creator>
  <cp:keywords/>
  <dc:description/>
  <cp:lastModifiedBy>Lachlan Carey</cp:lastModifiedBy>
  <cp:revision>2</cp:revision>
  <dcterms:created xsi:type="dcterms:W3CDTF">2026-01-08T16:13:00Z</dcterms:created>
  <dcterms:modified xsi:type="dcterms:W3CDTF">2026-01-08T16:13:00Z</dcterms:modified>
</cp:coreProperties>
</file>