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NEIS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Placeholder memo for the dashboard fixture. </w:t>
            </w:r>
            <w:r>
              <w:t>9</w:t>
            </w:r>
            <w:r>
              <w:t xml:space="preserve"> of </w:t>
            </w:r>
            <w:r>
              <w:t>58</w:t>
            </w:r>
            <w:r>
              <w:t xml:space="preserve"> placed sectors sit in the two low-energy-security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top Strategic Index sector among its own sectors is </w:t>
            </w:r>
            <w:r>
              <w:t>oil refining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>The memo phase replaces this text with an AI-generated memo checked against the fact sheet.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Hong Kong</w:t>
            </w:r>
            <w:r>
              <w:t xml:space="preserve"> highest.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2. Economic opportunities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3. Sectoral priorities and the existing policy posture</w:t>
      </w:r>
    </w:p>
    <w:p>
      <w:r>
        <w:t>Placeholder section: the memo phase writes this section from the fact sheet.</w:t>
      </w:r>
    </w:p>
    <w:p>
      <w:pPr>
        <w:pStyle w:val="Heading1"/>
      </w:pPr>
      <w:r>
        <w:t>4. Partnership priorities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5. Data notes and caveats</w:t>
      </w:r>
    </w:p>
    <w:p>
      <w:r>
        <w:t xml:space="preserve">All index values are the NEIS baseline as of </w:t>
      </w:r>
      <w:r>
        <w:t>12 October 2026</w:t>
      </w:r>
      <w:r>
        <w:t>.</w:t>
      </w:r>
      <w:r>
        <w:rPr>
          <w:color w:val="4B5563"/>
          <w:vertAlign w:val="superscript"/>
        </w:rPr>
        <w:t>1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NEIS baseline at six supply-chain stages.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NEIS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NEIS baseline as of 12 October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d1ca35bf263500f928d1797752a61b255b7834cbd2b0969f154472cdb977ff80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