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5.png" ContentType="image/png"/>
  <Override PartName="/word/media/rId49.png" ContentType="image/png"/>
  <Override PartName="/word/media/rId51.png" ContentType="image/png"/>
  <Override PartName="/word/media/rId55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Построение математической модели колебаний гармонического осциллятора</w:t>
      </w:r>
    </w:p>
    <w:p>
      <w:pPr>
        <w:numPr>
          <w:ilvl w:val="0"/>
          <w:numId w:val="1001"/>
        </w:numPr>
        <w:pStyle w:val="Compact"/>
      </w:pPr>
      <w:r>
        <w:t xml:space="preserve">Визуализация модели на языках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без затуханий и без действий внешней силы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с затуханием и без действий внешней силы</w:t>
      </w:r>
    </w:p>
    <w:p>
      <w:pPr>
        <w:numPr>
          <w:ilvl w:val="0"/>
          <w:numId w:val="1002"/>
        </w:numPr>
        <w:pStyle w:val="Compact"/>
      </w:pPr>
      <w:r>
        <w:t xml:space="preserve">Построить фазовый портрет и решение уравнения гармонического осциллятора при колебаниях гармонического осциллятора с затуханием и под действием внешней силы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(например, смещение грузика),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параметр, характеризующий потери энергии (например, трение в механической системе),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собственная частота колебаний.</w:t>
      </w:r>
    </w:p>
    <w:p>
      <w:pPr>
        <w:pStyle w:val="BodyText"/>
      </w:pPr>
      <w:r>
        <w:t xml:space="preserve">Зададим начальные условия: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d</m:t>
                  </m:r>
                  <m:r>
                    <m:t>o</m:t>
                  </m:r>
                  <m:r>
                    <m:t>t</m:t>
                  </m:r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первого случая потери в системе отсутствуют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), поэтому уравнение принимает вид: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Представим его в виде системы: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второго случая появляются потери в системе, и система уравнений принимает вид: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третьего случая помимо потерь на систему влияет внешняя сила, описываемая функцией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. Тогда система уравнений примет вид: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всех этих систем начальные условия примут вид: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[@lab-theory]</w:t>
      </w:r>
      <w:r>
        <w:t xml:space="preserve">.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 полученому уравнению для первого случая пишем программу на Julia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474440"/>
            <wp:effectExtent b="0" l="0" r="0" t="0"/>
            <wp:docPr descr="Программа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Получаем графики решения уравнения (рис.</w:t>
      </w:r>
      <w:r>
        <w:t xml:space="preserve"> </w:t>
      </w:r>
      <w:r>
        <w:t xml:space="preserve">@fig:002</w:t>
      </w:r>
      <w:r>
        <w:t xml:space="preserve">) и фазовый портрет гармонического осциллятора (</w:t>
      </w:r>
      <w:r>
        <w:t xml:space="preserve">@fig:003</w:t>
      </w:r>
      <w:r>
        <w:t xml:space="preserve">). Из замкнутости фазового портрета можно сделать вывод о консервативности системы, то есть об отсутствии влияния на систему со стороны внешних сил.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Решения уравнения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4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Решения уравнения на Julia для первого случая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Фазовый портрет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4_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Фазовый портрет на Julia для первого случая</w:t>
      </w:r>
    </w:p>
    <w:p>
      <w:pPr>
        <w:pStyle w:val="BodyText"/>
      </w:pPr>
      <w:r>
        <w:t xml:space="preserve">Изменим уравнение в нашей программе, чтобы оно описывало второй случай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334000" cy="1652167"/>
            <wp:effectExtent b="0" l="0" r="0" t="0"/>
            <wp:docPr descr="Программа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Для второго случая получаем графики решения уравнения (рис.</w:t>
      </w:r>
      <w:r>
        <w:t xml:space="preserve"> </w:t>
      </w:r>
      <w:r>
        <w:t xml:space="preserve">@fig:005</w:t>
      </w:r>
      <w:r>
        <w:t xml:space="preserve">) и фазовый портрет гармонического осциллятора (</w:t>
      </w:r>
      <w:r>
        <w:t xml:space="preserve">@fig:006</w:t>
      </w:r>
      <w:r>
        <w:t xml:space="preserve">). Фазовый портрет незамкнут, отсюда можно сделать вывод о том, что система не является консервативной, то есть на нее влияет какая-то внешняя сила, например, сила трения.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Решения уравнения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4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Решения уравнения на Julia для второго случая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Фазовый портрет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4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на Julia для второго случая</w:t>
      </w:r>
    </w:p>
    <w:p>
      <w:pPr>
        <w:pStyle w:val="BodyText"/>
      </w:pPr>
      <w:r>
        <w:t xml:space="preserve">Добавляем в программу функцию, описывающую систему уравнений для третьего случая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660121"/>
            <wp:effectExtent b="0" l="0" r="0" t="0"/>
            <wp:docPr descr="Программа на Juli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Программа на Julia для третьего случая</w:t>
      </w:r>
    </w:p>
    <w:p>
      <w:pPr>
        <w:pStyle w:val="BodyText"/>
      </w:pPr>
      <w:r>
        <w:t xml:space="preserve">Получаем графики решения уравнения (рис.</w:t>
      </w:r>
      <w:r>
        <w:t xml:space="preserve"> </w:t>
      </w:r>
      <w:r>
        <w:t xml:space="preserve">@fig:008</w:t>
      </w:r>
      <w:r>
        <w:t xml:space="preserve">) и фазовый портрет гармонического осциллятора (</w:t>
      </w:r>
      <w:r>
        <w:t xml:space="preserve">@fig:009</w:t>
      </w:r>
      <w:r>
        <w:t xml:space="preserve">) для третьего случая. Из незамкнутости графика фазового портрета видно, что система неконсервативна, следовательно на нее действуют внешние силы.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Решения уравнения на Juli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4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Решения уравнения на Julia для третьего случая</w:t>
      </w:r>
    </w:p>
    <w:p>
      <w:pPr>
        <w:pStyle w:val="CaptionedFigure"/>
      </w:pPr>
      <w:bookmarkStart w:id="40" w:name="fig:009"/>
      <w:r>
        <w:drawing>
          <wp:inline>
            <wp:extent cx="5334000" cy="3556000"/>
            <wp:effectExtent b="0" l="0" r="0" t="0"/>
            <wp:docPr descr="Фазовый портрет на Juli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4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Фазовый портрет на Julia для третьего случая</w:t>
      </w:r>
    </w:p>
    <w:p>
      <w:pPr>
        <w:pStyle w:val="BodyText"/>
      </w:pPr>
      <w:r>
        <w:t xml:space="preserve">Пишем аналогичную программу на OpenModelica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2" w:name="fig:010"/>
      <w:r>
        <w:drawing>
          <wp:inline>
            <wp:extent cx="2535731" cy="1690487"/>
            <wp:effectExtent b="0" l="0" r="0" t="0"/>
            <wp:docPr descr="Программа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Видим графики решения уравнения (рис.</w:t>
      </w:r>
      <w:r>
        <w:t xml:space="preserve"> </w:t>
      </w:r>
      <w:r>
        <w:t xml:space="preserve">@fig:011</w:t>
      </w:r>
      <w:r>
        <w:t xml:space="preserve">) и фазовый портрет гармонического осциллятора (</w:t>
      </w:r>
      <w:r>
        <w:t xml:space="preserve">@fig:012</w:t>
      </w:r>
      <w:r>
        <w:t xml:space="preserve">). Графики идентичны графикам, полученным в Julia.</w:t>
      </w:r>
    </w:p>
    <w:p>
      <w:pPr>
        <w:pStyle w:val="CaptionedFigure"/>
      </w:pPr>
      <w:bookmarkStart w:id="44" w:name="fig:011"/>
      <w:r>
        <w:drawing>
          <wp:inline>
            <wp:extent cx="5334000" cy="3359426"/>
            <wp:effectExtent b="0" l="0" r="0" t="0"/>
            <wp:docPr descr="Решения уравнения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4_om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Решения уравнения на OpenModelica для первого случая</w:t>
      </w:r>
    </w:p>
    <w:p>
      <w:pPr>
        <w:pStyle w:val="CaptionedFigure"/>
      </w:pPr>
      <w:bookmarkStart w:id="46" w:name="fig:012"/>
      <w:r>
        <w:drawing>
          <wp:inline>
            <wp:extent cx="5334000" cy="3657600"/>
            <wp:effectExtent b="0" l="0" r="0" t="0"/>
            <wp:docPr descr="Фазовый портрет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4_om_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Фазовый портрет на OpenModelica для первого случая</w:t>
      </w:r>
    </w:p>
    <w:p>
      <w:pPr>
        <w:pStyle w:val="BodyText"/>
      </w:pPr>
      <w:r>
        <w:t xml:space="preserve">Меняем программу, чтобы она подходила под второй случай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48" w:name="fig:013"/>
      <w:r>
        <w:drawing>
          <wp:inline>
            <wp:extent cx="2881512" cy="1882588"/>
            <wp:effectExtent b="0" l="0" r="0" t="0"/>
            <wp:docPr descr="Программа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Программа на OpenModelica для второго случая</w:t>
      </w:r>
    </w:p>
    <w:p>
      <w:pPr>
        <w:pStyle w:val="BodyText"/>
      </w:pPr>
      <w:r>
        <w:t xml:space="preserve">Из графиков решения уравнения (рис.</w:t>
      </w:r>
      <w:r>
        <w:t xml:space="preserve"> </w:t>
      </w:r>
      <w:r>
        <w:t xml:space="preserve">@fig:014</w:t>
      </w:r>
      <w:r>
        <w:t xml:space="preserve">) и фазового портрета гармонического осциллятора (рис.</w:t>
      </w:r>
      <w:r>
        <w:t xml:space="preserve"> </w:t>
      </w:r>
      <w:r>
        <w:t xml:space="preserve">@fig:015</w:t>
      </w:r>
      <w:r>
        <w:t xml:space="preserve">) для второго случая можно сделать вывод, что на систему влияет внешняя сила.</w:t>
      </w:r>
    </w:p>
    <w:p>
      <w:pPr>
        <w:pStyle w:val="CaptionedFigure"/>
      </w:pPr>
      <w:bookmarkStart w:id="50" w:name="fig:014"/>
      <w:r>
        <w:drawing>
          <wp:inline>
            <wp:extent cx="5334000" cy="3359426"/>
            <wp:effectExtent b="0" l="0" r="0" t="0"/>
            <wp:docPr descr="Решения уравнения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4_om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Решения уравнения на OpenModelica для второго случая</w:t>
      </w:r>
    </w:p>
    <w:p>
      <w:pPr>
        <w:pStyle w:val="CaptionedFigure"/>
      </w:pPr>
      <w:bookmarkStart w:id="52" w:name="fig:015"/>
      <w:r>
        <w:drawing>
          <wp:inline>
            <wp:extent cx="5334000" cy="3657600"/>
            <wp:effectExtent b="0" l="0" r="0" t="0"/>
            <wp:docPr descr="Фазовый портрет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4_om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Фазовый портрет на OpenModelica для второго случая</w:t>
      </w:r>
    </w:p>
    <w:p>
      <w:pPr>
        <w:pStyle w:val="BodyText"/>
      </w:pPr>
      <w:r>
        <w:t xml:space="preserve">Изменяем уравнение, чтобы оно соответствовало третьему случаю (рис.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54" w:name="fig:016"/>
      <w:r>
        <w:drawing>
          <wp:inline>
            <wp:extent cx="2973721" cy="2205317"/>
            <wp:effectExtent b="0" l="0" r="0" t="0"/>
            <wp:docPr descr="Программа на OpenModelic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Программа на OpenModelica для третьего случая</w:t>
      </w:r>
    </w:p>
    <w:p>
      <w:pPr>
        <w:pStyle w:val="BodyText"/>
      </w:pPr>
      <w:r>
        <w:t xml:space="preserve">Графики решения уравнения (рис.</w:t>
      </w:r>
      <w:r>
        <w:t xml:space="preserve"> </w:t>
      </w:r>
      <w:r>
        <w:t xml:space="preserve">@fig:017</w:t>
      </w:r>
      <w:r>
        <w:t xml:space="preserve">) и фазовый портрет гармонического осциллятора (рис.</w:t>
      </w:r>
      <w:r>
        <w:t xml:space="preserve"> </w:t>
      </w:r>
      <w:r>
        <w:t xml:space="preserve">@fig:018</w:t>
      </w:r>
      <w:r>
        <w:t xml:space="preserve">) позволяют сделать вывод, что на систему влияет внешняя сила.</w:t>
      </w:r>
    </w:p>
    <w:p>
      <w:pPr>
        <w:pStyle w:val="CaptionedFigure"/>
      </w:pPr>
      <w:bookmarkStart w:id="56" w:name="fig:017"/>
      <w:r>
        <w:drawing>
          <wp:inline>
            <wp:extent cx="5334000" cy="3359426"/>
            <wp:effectExtent b="0" l="0" r="0" t="0"/>
            <wp:docPr descr="Решения уравнения на OpenModelic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4_om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Решения уравнения на OpenModelica для третьего случая</w:t>
      </w:r>
    </w:p>
    <w:p>
      <w:pPr>
        <w:pStyle w:val="CaptionedFigure"/>
      </w:pPr>
      <w:bookmarkStart w:id="58" w:name="fig:018"/>
      <w:r>
        <w:drawing>
          <wp:inline>
            <wp:extent cx="5334000" cy="3657600"/>
            <wp:effectExtent b="0" l="0" r="0" t="0"/>
            <wp:docPr descr="Фазовый портрет на OpenModelica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lab4_om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Фазовый портрет на OpenModelica для третьего случая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универсальной математической моделью — гармоническим осциллятором, и применили навыки работы с Julia и OpenModelica для визуализации модели с помощью графиков. Результатами работы стали графики фазовых портретов и решения уравнения гармонического осциллятора для разных случаев.</w:t>
      </w:r>
    </w:p>
    <w:p>
      <w:pPr>
        <w:pStyle w:val="BodyText"/>
      </w:pPr>
      <w:r>
        <w:t xml:space="preserve">По моему мнению, OpenModelica подходит для решения этой задачи больше, чем Julia, так как она специализируется на работе с дифференциальными уравнениями, в то время как на Julia может потребоваться установка дополнительных библиотек.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Чекалова Лилия Руслановна</dc:creator>
  <dc:language>ru-RU</dc:language>
  <cp:keywords/>
  <dcterms:created xsi:type="dcterms:W3CDTF">2023-03-02T13:23:24Z</dcterms:created>
  <dcterms:modified xsi:type="dcterms:W3CDTF">2023-03-02T13:23:24Z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