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Чекалова</w:t>
      </w:r>
      <w:r>
        <w:t xml:space="preserve"> </w:t>
      </w:r>
      <w:r>
        <w:t xml:space="preserve">Лилия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Написание программы</w:t>
      </w:r>
    </w:p>
    <w:p>
      <w:pPr>
        <w:numPr>
          <w:ilvl w:val="0"/>
          <w:numId w:val="1002"/>
        </w:numPr>
        <w:pStyle w:val="Compact"/>
      </w:pPr>
      <w:r>
        <w:t xml:space="preserve">Зашифровка текстов по открытым текстам и известному ключу</w:t>
      </w:r>
    </w:p>
    <w:p>
      <w:pPr>
        <w:numPr>
          <w:ilvl w:val="0"/>
          <w:numId w:val="1002"/>
        </w:numPr>
        <w:pStyle w:val="Compact"/>
      </w:pPr>
      <w:r>
        <w:t xml:space="preserve">Расшифровка текстов без использования ключа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Наложение гаммы представляет собой выполнение операции сложения по модулю 2 (XOR) между элементами гаммы и элементами подлежащего сокрытию текста.</w:t>
      </w:r>
    </w:p>
    <w:p>
      <w:pPr>
        <w:pStyle w:val="BodyText"/>
      </w:pPr>
      <w:r>
        <w:t xml:space="preserve">Более подробно о см. в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лабораторной работы я написала программу для зашифрования и расшифровки текста. Импортировав необходимые библиотеки, я задала две функции — для генерации ключа по размеру сообщения (выбор случайных букв в кодировке ASCII) и для шифрования (поэлементный XOR)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811604" cy="2858703"/>
            <wp:effectExtent b="0" l="0" r="0" t="0"/>
            <wp:docPr descr="Figure 1: Программа,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285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Программа, 1</w:t>
      </w:r>
    </w:p>
    <w:bookmarkEnd w:id="0"/>
    <w:p>
      <w:pPr>
        <w:pStyle w:val="BodyText"/>
      </w:pPr>
      <w:r>
        <w:t xml:space="preserve">Далее я задала два открытых сообщения одинаковой длины, сгенерировала ключ и закодировала сообщения с помощью этого ключа. После этого я ввела промежуточную переменную temp, в которой сохранила результат поэлементного XOR между двумя зашифрованными сообщениями. Чтобы расшифровать первый текст, я произвела поэлементный XOR temp и второго открытого сообщения, а для расшифровки второго сообщения — поэлементный XOR temp и первого сообщения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2022592"/>
            <wp:effectExtent b="0" l="0" r="0" t="0"/>
            <wp:docPr descr="Figure 2: Программа,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2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Программа, 2</w:t>
      </w:r>
    </w:p>
    <w:bookmarkEnd w:id="0"/>
    <w:p>
      <w:pPr>
        <w:pStyle w:val="BodyText"/>
      </w:pPr>
      <w:r>
        <w:t xml:space="preserve">Полученные сообщения я вывела на экран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 Сообщения были успешно закодированы с помощью заданного ключа и раскодированы без использования этого ключа.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3070458" cy="1260909"/>
            <wp:effectExtent b="0" l="0" r="0" t="0"/>
            <wp:docPr descr="Figure 3: Результат запуска програм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58" cy="126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Результат запуска программы</w:t>
      </w:r>
    </w:p>
    <w:bookmarkEnd w:id="0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я закрепила знания о базовых элементах криптографии и освоила на примере шифрования двух текстов одним ключом применение режима однократного гаммирования, написав программу, позволяющую зашифровывать тексты и расшифровывать их, даже не зная ключа.</w:t>
      </w:r>
    </w:p>
    <w:bookmarkEnd w:id="30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32" w:name="ref-lab-theory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Элементы криптографии. Шифрование (кодирование) различных исходных текстов одним ключом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31">
        <w:r>
          <w:rPr>
            <w:rStyle w:val="Hyperlink"/>
          </w:rPr>
          <w:t xml:space="preserve">https://esystem.rudn.ru/pluginfile.php/2090286/mod_resource/content/2/008-lab_crypto-key.pdf</w:t>
        </w:r>
      </w:hyperlink>
      <w:r>
        <w:t xml:space="preserve">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1" Target="https://esystem.rudn.ru/pluginfile.php/2090286/mod_resource/content/2/008-lab_crypto-ke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system.rudn.ru/pluginfile.php/2090286/mod_resource/content/2/008-lab_crypto-ke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Чекалова Лилия Руслановна</dc:creator>
  <dc:language>ru-RU</dc:language>
  <cp:keywords/>
  <dcterms:created xsi:type="dcterms:W3CDTF">2023-10-26T09:30:58Z</dcterms:created>
  <dcterms:modified xsi:type="dcterms:W3CDTF">2023-10-26T09:30:58Z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Times New Roman</vt:lpwstr>
  </property>
  <property fmtid="{D5CDD505-2E9C-101B-9397-08002B2CF9AE}" pid="22" name="mainfontoptions">
    <vt:lpwstr>Ligatures=TeX</vt:lpwstr>
  </property>
  <property fmtid="{D5CDD505-2E9C-101B-9397-08002B2CF9AE}" pid="23" name="monofont">
    <vt:lpwstr>DejaVu Sans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Times New Roman</vt:lpwstr>
  </property>
  <property fmtid="{D5CDD505-2E9C-101B-9397-08002B2CF9AE}" pid="29" name="romanfontoptions">
    <vt:lpwstr>Ligatures=TeX</vt:lpwstr>
  </property>
  <property fmtid="{D5CDD505-2E9C-101B-9397-08002B2CF9AE}" pid="30" name="sansfont">
    <vt:lpwstr>DejaVu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