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240"/>
        <w:jc w:val="center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RELATÓRIO DE VISTORIA TÉCNICA</w:t>
      </w:r>
    </w:p>
    <w:p>
      <w:pPr>
        <w:spacing w:before="120" w:after="120"/>
      </w:pPr>
      <w:r>
        <w:rPr>
          <w:sz w:val="24"/>
          <w:szCs w:val="24"/>
          <w:rFonts w:ascii="Arial" w:cs="Arial" w:eastAsia="Arial" w:hAnsi="Arial"/>
        </w:rPr>
        <w:t xml:space="preserve">Data da Vistoria: 23/02/2025
</w:t>
      </w:r>
      <w:r>
        <w:rPr>
          <w:sz w:val="24"/>
          <w:szCs w:val="24"/>
          <w:rFonts w:ascii="Arial" w:cs="Arial" w:eastAsia="Arial" w:hAnsi="Arial"/>
        </w:rPr>
        <w:t xml:space="preserve">Cliente: Fernanda Pereira
</w:t>
      </w:r>
      <w:r>
        <w:rPr>
          <w:sz w:val="24"/>
          <w:szCs w:val="24"/>
          <w:rFonts w:ascii="Arial" w:cs="Arial" w:eastAsia="Arial" w:hAnsi="Arial"/>
        </w:rPr>
        <w:t xml:space="preserve">Empreendimento: Outro
</w:t>
      </w:r>
      <w:r>
        <w:rPr>
          <w:sz w:val="24"/>
          <w:szCs w:val="24"/>
          <w:rFonts w:ascii="Arial" w:cs="Arial" w:eastAsia="Arial" w:hAnsi="Arial"/>
        </w:rPr>
        <w:t xml:space="preserve">Cidade: Salvador
</w:t>
      </w:r>
      <w:r>
        <w:rPr>
          <w:sz w:val="24"/>
          <w:szCs w:val="24"/>
          <w:rFonts w:ascii="Arial" w:cs="Arial" w:eastAsia="Arial" w:hAnsi="Arial"/>
        </w:rPr>
        <w:t xml:space="preserve">Endereço: Rua 28, 207
</w:t>
      </w:r>
      <w:r>
        <w:rPr>
          <w:sz w:val="24"/>
          <w:szCs w:val="24"/>
          <w:rFonts w:ascii="Arial" w:cs="Arial" w:eastAsia="Arial" w:hAnsi="Arial"/>
        </w:rPr>
        <w:t xml:space="preserve">Protocolo: INS-464170
</w:t>
      </w:r>
    </w:p>
    <w:p>
      <w:pPr>
        <w:spacing w:before="240" w:after="120"/>
        <w:jc w:val="left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Análise Técnica</w:t>
      </w:r>
    </w:p>
    <w:p>
      <w:pPr>
        <w:spacing w:before="120" w:after="60"/>
        <w:jc w:val="left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1. Marcas de Caminhamento sobre o Telhado</w:t>
      </w:r>
    </w:p>
    <w:p>
      <w:pPr>
        <w:spacing w:before="6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Durante a vistoria, foram identificadas marcas evidentes de caminhamento direto sobre as telhas, caracterizando uso inadequado do sistema de cobertura. As telhas BRASILIT não são projetadas para suportar tráfego direto, mesmo que eventual. O caminhamento incorreto pode causar trincas, deformações e comprometer a integridade das telhas. Para acesso à cobertura durante manutenções ou inspeções, é obrigatório o uso de tábuas ou pranchas apropriadas, apoiadas sobre as terças ou caibros, distribuindo as cargas de maneira adequada. Estas tábuas devem ter largura mínima de 20cm e espessura adequada para suportar o peso sem deformação. É fundamental estabelecer procedimentos seguros de acesso à cobertura e treinar as equipes de manutenção.</w:t>
      </w:r>
    </w:p>
    <w:p>
      <w:pPr>
        <w:spacing w:before="120" w:after="60"/>
        <w:jc w:val="left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2. Recobrimento Incorreto</w:t>
      </w:r>
    </w:p>
    <w:p>
      <w:pPr>
        <w:spacing w:before="6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Foi identificado que o recobrimento entre as telhas não atende às especificações mínimas estabelecidas pelo fabricante. O recobrimento adequado é fundamental para garantir a estanqueidade do sistema de cobertura. Para telhas BRASILIT, o recobrimento longitudinal deve ser de 14cm para inclinações até 15° e 20cm para inclinações menores que 15°. O recobrimento lateral deve ser de 1¼ onda para telhas onduladas. A não conformidade no recobrimento pode resultar em infiltrações generalizadas, principalmente em períodos de chuva intensa ou com ventos fortes. Além disso, o recobrimento inadequado pode comprometer a fixação das telhas e sua resistência a esforços de sucção causados pelo vento. É necessária a correção dos recobrimentos, o que pode implicar na remontagem parcial ou total do telhado.</w:t>
      </w:r>
    </w:p>
    <w:p>
      <w:pPr>
        <w:spacing w:before="120" w:after="60"/>
        <w:jc w:val="left"/>
      </w:pPr>
      <w:r>
        <w:rPr>
          <w:b/>
          <w:bCs/>
          <w:sz w:val="24"/>
          <w:szCs w:val="24"/>
          <w:rFonts w:ascii="Arial" w:cs="Arial" w:eastAsia="Arial" w:hAnsi="Arial"/>
        </w:rPr>
        <w:t xml:space="preserve">3. Uso de Cumeeira Cerâmica</w:t>
      </w:r>
    </w:p>
    <w:p>
      <w:pPr>
        <w:spacing w:before="6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Foi identificada a utilização de cumeeiras cerâmicas em conjunto com as telhas de fibrocimento BRASILIT, caracterizando uma incompatibilidade técnica grave. As cumeeiras cerâmicas possuem características físicas e dimensionais diferentes das telhas de fibrocimento, resultando em vedação inadequada e alto risco de infiltrações. Além disso, o peso específico diferente dos materiais pode causar deformações e trincas nas telhas. É obrigatório o uso exclusivo de cumeeiras e peças complementares específicas para telhas de fibrocimento BRASILIT, que são projetadas para garantir a perfeita compatibilidade dimensional e vedação do sistema. A substituição das cumeeiras cerâmicas por peças apropriadas é necessária para garantir o desempenho adequado da cobertura.</w:t>
      </w:r>
    </w:p>
    <w:p>
      <w:pPr>
        <w:spacing w:before="240" w:after="120"/>
        <w:jc w:val="left"/>
      </w:pPr>
      <w:r>
        <w:rPr>
          <w:b/>
          <w:bCs/>
          <w:sz w:val="32"/>
          <w:szCs w:val="32"/>
          <w:rFonts w:ascii="Arial" w:cs="Arial" w:eastAsia="Arial" w:hAnsi="Arial"/>
        </w:rPr>
        <w:t xml:space="preserve">Conclusão</w:t>
      </w:r>
    </w:p>
    <w:p>
      <w:pPr>
        <w:spacing w:before="120" w:after="120"/>
        <w:jc w:val="both"/>
      </w:pPr>
      <w:r>
        <w:rPr>
          <w:sz w:val="24"/>
          <w:szCs w:val="24"/>
          <w:rFonts w:ascii="Arial" w:cs="Arial" w:eastAsia="Arial" w:hAnsi="Arial"/>
        </w:rPr>
        <w:t xml:space="preserve">Em função das não conformidades constatadas no manuseio e instalação das chapas Brasilit, finalizamos o atendimento considerando a reclamação como IMPROCEDENTE, onde os problemas reclamados se dão pelo incorreto manuseio e instalação das telhas e não a problemas relacionados à qualidade do material.</w:t>
      </w:r>
    </w:p>
    <w:p>
      <w:pPr>
        <w:spacing w:before="360" w:after="120"/>
      </w:pPr>
      <w:r>
        <w:rPr>
          <w:sz w:val="24"/>
          <w:szCs w:val="24"/>
          <w:rFonts w:ascii="Arial" w:cs="Arial" w:eastAsia="Arial" w:hAnsi="Arial"/>
        </w:rPr>
        <w:t xml:space="preserve">Atenciosamente,
</w:t>
      </w:r>
      <w:r>
        <w:rPr>
          <w:sz w:val="24"/>
          <w:szCs w:val="24"/>
          <w:rFonts w:ascii="Arial" w:cs="Arial" w:eastAsia="Arial" w:hAnsi="Arial"/>
        </w:rPr>
        <w:t xml:space="preserve">Saint-Gobain do Brasil Prod. Ind. e para Cons. Civil Ltda.
</w:t>
      </w:r>
      <w:r>
        <w:rPr>
          <w:sz w:val="24"/>
          <w:szCs w:val="24"/>
          <w:rFonts w:ascii="Arial" w:cs="Arial" w:eastAsia="Arial" w:hAnsi="Arial"/>
        </w:rPr>
        <w:t xml:space="preserve">Divisão Produtos Para Construção
</w:t>
      </w:r>
      <w:r>
        <w:rPr>
          <w:sz w:val="24"/>
          <w:szCs w:val="24"/>
          <w:rFonts w:ascii="Arial" w:cs="Arial" w:eastAsia="Arial" w:hAnsi="Arial"/>
        </w:rPr>
        <w:t xml:space="preserve">Departamento de Assistência Técnica</w:t>
      </w:r>
    </w:p>
    <w:sectPr>
      <w:headerReference w:type="default" r:id="rId6"/>
      <w:footerReference w:type="default" r:id="rId7"/>
      <w:type w:val="continuous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4"/>
        <w:szCs w:val="24"/>
        <w:rFonts w:ascii="Arial" w:cs="Arial" w:eastAsia="Arial" w:hAnsi="Arial"/>
      </w:rPr>
      <w:t xml:space="preserve">Página </w:t>
    </w:r>
    <w:r>
      <w:rPr>
        <w:sz w:val="24"/>
        <w:szCs w:val="24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  <w:r>
      <w:rPr>
        <w:sz w:val="24"/>
        <w:szCs w:val="24"/>
        <w:rFonts w:ascii="Arial" w:cs="Arial" w:eastAsia="Arial" w:hAnsi="Arial"/>
      </w:rPr>
      <w:t xml:space="preserve"> de </w:t>
    </w:r>
    <w:r>
      <w:rPr>
        <w:sz w:val="24"/>
        <w:szCs w:val="24"/>
        <w:rFonts w:ascii="Arial" w:cs="Arial" w:eastAsia="Arial" w:hAnsi="Arial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200"/>
      <w:jc w:val="left"/>
    </w:pPr>
    <w:r>
      <w:rPr>
        <w:b/>
        <w:bCs/>
        <w:sz w:val="32"/>
        <w:szCs w:val="32"/>
        <w:rFonts w:ascii="Arial" w:cs="Arial" w:eastAsia="Arial" w:hAnsi="Arial"/>
      </w:rPr>
      <w:t xml:space="preserve">SAINT-GOBAIN BRASIL</w:t>
    </w:r>
  </w:p>
  <w:p>
    <w:pPr>
      <w:spacing w:before="0" w:after="200"/>
      <w:jc w:val="left"/>
    </w:pPr>
    <w:r>
      <w:rPr>
        <w:b w:val="false"/>
        <w:bCs w:val="false"/>
        <w:sz w:val="24"/>
        <w:szCs w:val="24"/>
        <w:rFonts w:ascii="Arial" w:cs="Arial" w:eastAsia="Arial" w:hAnsi="Arial"/>
      </w:rPr>
      <w:t xml:space="preserve">Divisão Brasilit - Assistência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2025-02-24T18:05:46.163Z</dcterms:created>
  <dcterms:modified xsi:type="dcterms:W3CDTF">2025-02-24T18:05:46.163Z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