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Trials Acceleration Platform (CTAP)</w:t>
      </w:r>
    </w:p>
    <w:p>
      <w:pPr>
        <w:pStyle w:val="Date"/>
      </w:pPr>
      <w:r>
        <w:t xml:space="preserve">2025-01-01</w:t>
      </w:r>
    </w:p>
    <w:bookmarkStart w:id="9" w:name="X95803ca01c582e0a505f4327b3f74812c300cd9"/>
    <w:p>
      <w:pPr>
        <w:pStyle w:val="Heading1"/>
      </w:pPr>
      <w:r>
        <w:t xml:space="preserve">Clinical Trials Acceleration Platform (CTAP)</w:t>
      </w:r>
    </w:p>
    <w:bookmarkEnd w:id="9"/>
    <w:bookmarkStart w:id="10" w:name="strategic-alignment"/>
    <w:p>
      <w:pPr>
        <w:pStyle w:val="Heading1"/>
      </w:pPr>
      <w:r>
        <w:t xml:space="preserve">1. Strategic Alignment</w:t>
      </w:r>
    </w:p>
    <w:p>
      <w:pPr>
        <w:pStyle w:val="FirstParagraph"/>
      </w:pPr>
      <w:r>
        <w:t xml:space="preserve">The Clinical Trials Acceleration Platform (CTAP) directly operationalizes Forward with Purpose: A Strategic Plan for Research and Innovation 2023-2028, which calls for the University of Alberta to address grand challenges through interdisciplinary research, data-enabled discovery, and deep partnerships with health systems. CTAP embodies the plan’s emphasis on health and life sciences, artificial intelligence, and digital innovation by creating an integrated, AI-enabled clinical trials infrastructure that links discovery to impact—from molecular design and GMP manufacturing to biospecimen-enabled trials and real-world evidence.</w:t>
      </w:r>
    </w:p>
    <w:p>
      <w:pPr>
        <w:pStyle w:val="BodyText"/>
      </w:pPr>
      <w:r>
        <w:t xml:space="preserve">CTAP is anchored within the newly established Dianne and Irving Kipnes Health Research Institute, whose vision is</w:t>
      </w:r>
      <w:r>
        <w:t xml:space="preserve"> </w:t>
      </w:r>
      <w:r>
        <w:t xml:space="preserve">“to create a learning health system where artificial intelligence enhances care, clinical trials validate breakthroughs, and specialized programs demonstrate the full cycle of research from insight to impact—continuously improving outcomes.”</w:t>
      </w:r>
      <w:r>
        <w:t xml:space="preserve"> </w:t>
      </w:r>
      <w:r>
        <w:t xml:space="preserve">This $25 million philanthropic investment signals deep institutional commitment to clinical trials acceleration, and CTAP provides the infrastructure backbone to realize the Kipnes vision. The Institute’s AI + Health Hub and Health Research Translation Unit provide the governance and operational framework within which CTAP will operate, positioning Alberta as</w:t>
      </w:r>
      <w:r>
        <w:t xml:space="preserve"> </w:t>
      </w:r>
      <w:r>
        <w:t xml:space="preserve">“the place where research discoveries reach patients in our communities not in decades, but in years or even months.”</w:t>
      </w:r>
    </w:p>
    <w:p>
      <w:pPr>
        <w:pStyle w:val="BodyText"/>
      </w:pPr>
      <w:r>
        <w:t xml:space="preserve">CTAP builds on institutional strengths in neuro-immunology, vaccines, cardio-renal-metabolic disease, pediatric rare disease, and AI (Amii), and is deeply embedded in the College of Health Sciences’ commitment to shared platforms, learning health systems, and research translation.</w:t>
      </w:r>
    </w:p>
    <w:p>
      <w:pPr>
        <w:pStyle w:val="BodyText"/>
      </w:pPr>
      <w:r>
        <w:t xml:space="preserve">Provincial Alignment: CTAP strongly supports the Alberta Technology and Innovation Strategy (ATIS), which aims to make Alberta an internationally recognized technology and innovation hub. By integrating AI, advanced biomanufacturing (PRAIRIE Hub, ACTM), secure cloud infrastructure (AWS Calgary region), and clinical trials at scale, CTAP directly advances ATIS goals in talent development, commercialization, data-driven innovation, and global competitiveness. The platform will attract industry-sponsored trials and partnerships, grow the biomanufacturing and health-AI sectors, and position Alberta as a leading jurisdiction for AI-enabled clinical trials.</w:t>
      </w:r>
    </w:p>
    <w:bookmarkEnd w:id="10"/>
    <w:bookmarkStart w:id="21" w:name="research-plan"/>
    <w:p>
      <w:pPr>
        <w:pStyle w:val="Heading1"/>
      </w:pPr>
      <w:r>
        <w:t xml:space="preserve">2. Research Plan</w:t>
      </w:r>
    </w:p>
    <w:bookmarkStart w:id="11" w:name="the-opportunity"/>
    <w:p>
      <w:pPr>
        <w:pStyle w:val="Heading2"/>
      </w:pPr>
      <w:r>
        <w:t xml:space="preserve">2.1 The Opportunity</w:t>
      </w:r>
    </w:p>
    <w:p>
      <w:pPr>
        <w:pStyle w:val="FirstParagraph"/>
      </w:pPr>
      <w:r>
        <w:t xml:space="preserve">The University of Alberta requests $10 million to establish the Clinical Trials Acceleration Platform (CTAP)—an AI-enabled, health-system-embedded infrastructure that will position Alberta as a national leader in next-generation clinical trials.</w:t>
      </w:r>
    </w:p>
    <w:p>
      <w:pPr>
        <w:pStyle w:val="BodyText"/>
      </w:pPr>
      <w:r>
        <w:t xml:space="preserve">Advances in AI, molecular biology, and biomanufacturing have dramatically expanded the pipeline of vaccines, biologics, and cell therapies. Yet the fundamental bottleneck to patient benefit remains unchanged: the speed, cost, and integration of human clinical trials. Clinical trials in Canada contribute $15 billion annually, yet much of the process—from conception through knowledge mobilization—remains manual, subjective, and inefficient. Patients cannot easily access or participate in randomized clinical trials (RCTs), and trialists cannot efficiently use available resources.</w:t>
      </w:r>
    </w:p>
    <w:p>
      <w:pPr>
        <w:pStyle w:val="BodyText"/>
      </w:pPr>
      <w:r>
        <w:t xml:space="preserve">Recent systematic reviews demonstrate that AI integration can address these bottlenecks: meta-analytic evidence shows AI screening tools achieve 90.5% sensitivity and 99.3% specificity for identifying eligible trial patients, with predictive models achieving AUC scores of 0.81-0.92. AI-assisted processes have reduced eligibility screening time by 78% and transformed patient identification from an average of 19-263 days to mere minutes. However, current AI applications remain fragmented—deployed in only a fraction of trial components—and the gap between patient identification and actual enrollment remains substantial.</w:t>
      </w:r>
    </w:p>
    <w:p>
      <w:pPr>
        <w:pStyle w:val="BodyText"/>
      </w:pPr>
      <w:r>
        <w:t xml:space="preserve">CTAP addresses this bottleneck by treating clinical trials not as episodic projects but as a continuously learning ecosystem where data, biospecimens, and operational knowledge cycle back to accelerate subsequent discoveries.</w:t>
      </w:r>
    </w:p>
    <w:bookmarkEnd w:id="11"/>
    <w:bookmarkStart w:id="12" w:name="why-the-university-of-alberta-why-now"/>
    <w:p>
      <w:pPr>
        <w:pStyle w:val="Heading2"/>
      </w:pPr>
      <w:r>
        <w:t xml:space="preserve">2.2 Why the University of Alberta, Why Now</w:t>
      </w:r>
    </w:p>
    <w:p>
      <w:pPr>
        <w:pStyle w:val="FirstParagraph"/>
      </w:pPr>
      <w:r>
        <w:t xml:space="preserve">Alberta possesses a convergence of advantages that cannot be easily replicated:</w:t>
      </w:r>
    </w:p>
    <w:p>
      <w:pPr>
        <w:pStyle w:val="BodyText"/>
      </w:pPr>
      <w:r>
        <w:t xml:space="preserve">Unrivalled AI Capacity. The Alberta Machine Intelligence Institute (Amii), with over 10 CIFAR AI Chairs focused on health and life sciences and leadership that includes pioneers of modern reinforcement learning, provides in-house expertise to deploy AI directly into clinical workflows—optimizing trial design, automating recruitment, and analyzing complex multi-omics data—without outsourcing.</w:t>
      </w:r>
    </w:p>
    <w:p>
      <w:pPr>
        <w:pStyle w:val="BodyText"/>
      </w:pPr>
      <w:r>
        <w:t xml:space="preserve">A Unified Health System. Alberta’s single-payer system, underpinned by Connect Care—a province-wide Epic-based clinical information system spanning 682 sites and serving 4.4 million Albertans—provides computable access to longitudinal records for population-scale research. CTAP can query this dataset to identify rare phenotypes, model synthetic control arms, and track long-term outcomes with minimal friction.</w:t>
      </w:r>
    </w:p>
    <w:p>
      <w:pPr>
        <w:pStyle w:val="BodyText"/>
      </w:pPr>
      <w:r>
        <w:t xml:space="preserve">Mature Discovery Infrastructure. The Alberta Diabetes Institute, Li Ka Shing Institute of Virology, Drug Discovery and Innovation Centre (DDIC), Alberta Cell Therapy Manufacturing (ACTM), global-leading Glycomics (GIA) and Metabolomics (TMIC) facilities, and the new $20M Alberta Cryo-EM Facility (the only one in Alberta, one of five in Canada) currently lack a unified downstream pathway to human validation. CTAP provides that pathway, connecting upstream assets to downstream impact.</w:t>
      </w:r>
    </w:p>
    <w:p>
      <w:pPr>
        <w:pStyle w:val="BodyText"/>
      </w:pPr>
      <w:r>
        <w:t xml:space="preserve">Expanding Biomanufacturing Capacity. Alberta is rapidly becoming a national hub for biomanufacturing through the Striving for Pandemic Preparedness – Alberta Research Consortium (SPP-ARC) and the PRAIRIE Hub for Pandemic Preparedness ($109.9M, 2024). The Critical Medicines Production Centre (CMPC)—an $200M, 83,000 sq ft facility under construction at Edmonton Research Park in partnership with Applied Pharmaceutical Innovation (API) and the Li Ka Shing Applied Virology Institute—will provide Canada’s largest pharmaceutical manufacturing capacity (70+ million doses/year) by 2026. CTAP positions these manufacturing assets alongside clinical trials infrastructure to create an end-to-end pathway from discovery to human validation.</w:t>
      </w:r>
    </w:p>
    <w:p>
      <w:pPr>
        <w:pStyle w:val="BodyText"/>
      </w:pPr>
      <w:r>
        <w:t xml:space="preserve">Specialized Translational Platforms. The Translational Genomics Hub at WCHRI addresses undiagnosed genetic diseases and variants of unknown significance, streamlining research ethics and enrollment for rare disease trials. Alberta Proteomics and Mass Spectrometry (APM) complements TMIC with protein identification and characterization capabilities. These specialized platforms enable deep phenotyping across genomic, proteomic, metabolomic, and glycomic domains—a breadth of molecular characterization unmatched elsewhere in Canada.</w:t>
      </w:r>
    </w:p>
    <w:bookmarkEnd w:id="12"/>
    <w:bookmarkStart w:id="13" w:name="the-integrated-infrastructure-model"/>
    <w:p>
      <w:pPr>
        <w:pStyle w:val="Heading2"/>
      </w:pPr>
      <w:r>
        <w:t xml:space="preserve">2.3 The Integrated Infrastructure Model</w:t>
      </w:r>
    </w:p>
    <w:p>
      <w:pPr>
        <w:pStyle w:val="FirstParagraph"/>
      </w:pPr>
      <w:r>
        <w:t xml:space="preserve">CTAP is led by University of Alberta Clinical Trials (UACT), uniting a unique constellation of partners including: translational and trials hubs (Kipnes Health Research Institute, Alberta Diabetes Institute, Women and Children’s Health Research Institute, Canadian VIGOUR Centre, and Translational Genomics Hub); participation in national clinical trial networks (RareKids-CAN, Accelerating Clinical Trials consortium ACT-AEC, PRAIRIE Hub); biomanufacturing and biospecimens (ACTM, Applied Pharmaceutical Innovation/CMPC, Canadian BioSample Repository, Drug Development and Innovation Centre); discovery-to-trials molecular platforms (Alberta Cryo-EM Facility, Glycomics Institute of Alberta, TMIC, Alberta Proteomics and Mass Spectrometry); and data and AI infrastructure (AWS Calgary, RDSS, Amii, QBI partnership).</w:t>
      </w:r>
    </w:p>
    <w:p>
      <w:pPr>
        <w:pStyle w:val="BodyText"/>
      </w:pPr>
      <w:r>
        <w:t xml:space="preserve">The platform operates through five tightly coupled domains:</w:t>
      </w:r>
    </w:p>
    <w:p>
      <w:pPr>
        <w:pStyle w:val="BodyText"/>
      </w:pPr>
      <w:r>
        <w:t xml:space="preserve">Domain 1: AI-Enabled Operations Hub</w:t>
      </w:r>
    </w:p>
    <w:p>
      <w:pPr>
        <w:pStyle w:val="BodyText"/>
      </w:pPr>
      <w:r>
        <w:t xml:space="preserve">The Clinical Trials Acceleration Hub centralizes governance and regulatory navigation. Its core innovation is CRAIDL (Clinical Research Assistants for Intelligent Design and anaLysis)—AI agents developed with Amii that simulate protocol feasibility against Connect Care data, predict recruitment bottlenecks before trials open, and automate regulatory documentation. CRAIDL comprises six core agents: Protocol Agent (hypothesis-to-protocol conversion), Data Management Agent (statistical design and EDC), Events Agent (endpoint capture and adjudication), Ethics Agent (REB submissions and consent generation), Regulatory Agent (Health Canada/FDA compliance), and Budget and Contracts Agent (fair market value budgeting). Target: 40–50% reduction in trial startup time, with a stretch goal of idea-to-activation within 4 weeks.</w:t>
      </w:r>
    </w:p>
    <w:p>
      <w:pPr>
        <w:pStyle w:val="BodyText"/>
      </w:pPr>
      <w:r>
        <w:t xml:space="preserve">Domain 2: Integrated Biorepository (</w:t>
      </w:r>
      <w:r>
        <w:t xml:space="preserve">“Living Biobank”</w:t>
      </w:r>
      <w:r>
        <w:t xml:space="preserve">)</w:t>
      </w:r>
    </w:p>
    <w:p>
      <w:pPr>
        <w:pStyle w:val="BodyText"/>
      </w:pPr>
      <w:r>
        <w:t xml:space="preserve">Managed by the Canadian BioSample Repository (CBSR), this domain replaces decentralized freezer farms with industrial-grade automated storage and robotic liquid handling. Samples are dynamically linked to donors’ evolving health records, enabling retrieval based on clinical outcomes that emerge years after collection—transforming a static repository into a discovery engine.</w:t>
      </w:r>
    </w:p>
    <w:p>
      <w:pPr>
        <w:pStyle w:val="BodyText"/>
      </w:pPr>
      <w:r>
        <w:t xml:space="preserve">Domain 3: Secure Research Data Environment</w:t>
      </w:r>
    </w:p>
    <w:p>
      <w:pPr>
        <w:pStyle w:val="BodyText"/>
      </w:pPr>
      <w:r>
        <w:t xml:space="preserve">In partnership with Amazon Web Services, with a data center in the Calgary region, CTAP establishes a privacy-preserving</w:t>
      </w:r>
      <w:r>
        <w:t xml:space="preserve"> </w:t>
      </w:r>
      <w:r>
        <w:t xml:space="preserve">“clean room”</w:t>
      </w:r>
      <w:r>
        <w:t xml:space="preserve"> </w:t>
      </w:r>
      <w:r>
        <w:t xml:space="preserve">for health data analysis. Generative AI tools structure millions of unstructured clinical notes, enabling deep phenotyping—identifying clinical signals that never appear in billing codes—while meeting Health Information Act requirements and providing industry partners a secure collaboration environment.</w:t>
      </w:r>
    </w:p>
    <w:p>
      <w:pPr>
        <w:pStyle w:val="BodyText"/>
      </w:pPr>
      <w:r>
        <w:t xml:space="preserve">Domain 4: Open Science Infrastructure</w:t>
      </w:r>
    </w:p>
    <w:p>
      <w:pPr>
        <w:pStyle w:val="BodyText"/>
      </w:pPr>
      <w:r>
        <w:t xml:space="preserve">CTAP mandates FAIR (Findable, Accessible, Interoperable, Reusable) data principles and Common Data Elements across all disease sites. This interoperability positions Alberta as an attractive partner for multinational consortia, enabling seamless data pooling for meta-analysis and validation with global registries (NIH, NINDS).</w:t>
      </w:r>
    </w:p>
    <w:p>
      <w:pPr>
        <w:pStyle w:val="BodyText"/>
      </w:pPr>
      <w:r>
        <w:t xml:space="preserve">Domain 5: Integrated Molecular Phenotyping</w:t>
      </w:r>
    </w:p>
    <w:p>
      <w:pPr>
        <w:pStyle w:val="BodyText"/>
      </w:pPr>
      <w:r>
        <w:t xml:space="preserve">Rather than shipping samples externally, CTAP embeds molecular characterization (Cryo-EM, Glycomics, Metabolomics) directly into trial workflows, enabling real-time correlation of clinical outcomes with mechanistic molecular changes—providing insight that standard trials cannot match.</w:t>
      </w:r>
    </w:p>
    <w:bookmarkEnd w:id="13"/>
    <w:bookmarkStart w:id="14" w:name="Xa52d018a1bb4e6b53addbe0c681b19b9816c7d2"/>
    <w:p>
      <w:pPr>
        <w:pStyle w:val="Heading2"/>
      </w:pPr>
      <w:r>
        <w:t xml:space="preserve">2.4 CRAIDL: The AI-First Clinical Trials Engine</w:t>
      </w:r>
    </w:p>
    <w:p>
      <w:pPr>
        <w:pStyle w:val="FirstParagraph"/>
      </w:pPr>
      <w:r>
        <w:t xml:space="preserve">A cornerstone of CTAP’s innovation agenda is CRAIDL, which will create, amalgamate, and deploy RCTs of the highest quality and greatest efficiency using AI-augmentation at every stage—from inception of the clinical question through knowledge mobilization. CRAIDL builds on RCT expertise at UAlberta through the Canadian VIGOUR Centre (50+ trials designed and operationalized) and the federal ACT-AEC grant.</w:t>
      </w:r>
    </w:p>
    <w:p>
      <w:pPr>
        <w:pStyle w:val="BodyText"/>
      </w:pPr>
      <w:r>
        <w:t xml:space="preserve">CRAIDL leverages agentic AI design—where AI agents function autonomously toward goal-directed behaviour, integrated with other tools, and coordinated to act together or independently as part of human-agent collaboration. This AI-first approach, developed in partnership with Amii and CIFAR AI Chairs, represents a paradigm shift from current practice where AI tools are deployed in isolated, disconnected fashion.</w:t>
      </w:r>
    </w:p>
    <w:p>
      <w:pPr>
        <w:pStyle w:val="BodyText"/>
      </w:pPr>
      <w:r>
        <w:t xml:space="preserve">The benchmark for CRAIDL success is ambitious: the RECOVERY trial wrote its first protocol draft in approximately 3 days and enrolled its first patient within 9 days—an achievement requiring thousands of human FTE hours, regulatory waivers, and existing platform infrastructure. CRAIDL aims to democratize this capability, making rapid trial deployment accessible for any clinical question, disease area, or trial design through open-architecture AI agents deployable across the ACT-AEC network nationally.</w:t>
      </w:r>
    </w:p>
    <w:bookmarkEnd w:id="14"/>
    <w:bookmarkStart w:id="15" w:name="core-objectives"/>
    <w:p>
      <w:pPr>
        <w:pStyle w:val="Heading2"/>
      </w:pPr>
      <w:r>
        <w:t xml:space="preserve">2.5 Core Objectives</w:t>
      </w:r>
    </w:p>
    <w:p>
      <w:pPr>
        <w:pStyle w:val="FirstParagraph"/>
      </w:pPr>
      <w:r>
        <w:t xml:space="preserve">By 2031, CTAP will:</w:t>
      </w:r>
    </w:p>
    <w:p>
      <w:pPr>
        <w:pStyle w:val="Compact"/>
        <w:numPr>
          <w:ilvl w:val="0"/>
          <w:numId w:val="1001"/>
        </w:numPr>
      </w:pPr>
      <w:r>
        <w:t xml:space="preserve">Reduce clinical trial start-up timelines by 40-50% for UofA-led trials through streamlined UACT processes, harmonized SOPs, and embedded provincial workflows—with a stretch goal of idea to first site activation within 4 weeks via AI-augmented design. (Target: startup time reduced from 12+ months to 6 months; benchmark against RECOVERY trial)</w:t>
      </w:r>
    </w:p>
    <w:p>
      <w:pPr>
        <w:pStyle w:val="Compact"/>
        <w:numPr>
          <w:ilvl w:val="0"/>
          <w:numId w:val="1001"/>
        </w:numPr>
      </w:pPr>
      <w:r>
        <w:t xml:space="preserve">Double trial recruitment efficiency and create a patient engagement model that serves as a national resource, with explicit targets for Indigenous (15%), rural (20%), and pediatric participation. (Target: patient engagement model adopted by 3+ national networks)</w:t>
      </w:r>
    </w:p>
    <w:p>
      <w:pPr>
        <w:pStyle w:val="Compact"/>
        <w:numPr>
          <w:ilvl w:val="0"/>
          <w:numId w:val="1001"/>
        </w:numPr>
      </w:pPr>
      <w:r>
        <w:t xml:space="preserve">Enable first-in-human and complex advanced-therapy trials through integrated GMP manufacturing and specialized clinical trial units, with a clear pathway to commercialization. (Target: 5+ first-in-human trials; 2+ spinout/licensing arrangements)</w:t>
      </w:r>
    </w:p>
    <w:p>
      <w:pPr>
        <w:pStyle w:val="Compact"/>
        <w:numPr>
          <w:ilvl w:val="0"/>
          <w:numId w:val="1001"/>
        </w:numPr>
      </w:pPr>
      <w:r>
        <w:t xml:space="preserve">Integrate biospecimens, multi-omics, and real-world data so that 70% or more of interventional trials have pre-planned biospecimen pipelines, FAIR-compliant data, and RWD-based follow-up linked to Connect Care.</w:t>
      </w:r>
    </w:p>
    <w:p>
      <w:pPr>
        <w:pStyle w:val="Compact"/>
        <w:numPr>
          <w:ilvl w:val="0"/>
          <w:numId w:val="1001"/>
        </w:numPr>
      </w:pPr>
      <w:r>
        <w:t xml:space="preserve">Embed AI across trial design, enrollment, monitoring, and analysis, creating a continuously learning clinical trials system with deployable CRAIDL agents accessible as national infrastructure via ACT-AEC. (Target: 6 agents deployed; adopted by 5+ institutions)</w:t>
      </w:r>
    </w:p>
    <w:p>
      <w:pPr>
        <w:pStyle w:val="Compact"/>
        <w:numPr>
          <w:ilvl w:val="0"/>
          <w:numId w:val="1001"/>
        </w:numPr>
      </w:pPr>
      <w:r>
        <w:t xml:space="preserve">Create a nationally interoperable clinical trials backbone, serving as a Western anchor for ACT-AEC, PRAIRIE Hub, and RareKids-CAN, with 10+ institutional partners as a regional coordinating centre.</w:t>
      </w:r>
    </w:p>
    <w:p>
      <w:pPr>
        <w:pStyle w:val="Compact"/>
        <w:numPr>
          <w:ilvl w:val="0"/>
          <w:numId w:val="1001"/>
        </w:numPr>
      </w:pPr>
      <w:r>
        <w:t xml:space="preserve">Train 150+ highly qualified personnel in AI-enabled trial design and operations, including clinician-scientists, data scientists, with 20% from Indigenous communities and underrepresented groups. (Target: training curriculum adopted nationally)</w:t>
      </w:r>
    </w:p>
    <w:bookmarkEnd w:id="15"/>
    <w:bookmarkStart w:id="16" w:name="flagship-programs"/>
    <w:p>
      <w:pPr>
        <w:pStyle w:val="Heading2"/>
      </w:pPr>
      <w:r>
        <w:t xml:space="preserve">2.6 Flagship Programs</w:t>
      </w:r>
    </w:p>
    <w:p>
      <w:pPr>
        <w:pStyle w:val="FirstParagraph"/>
      </w:pPr>
      <w:r>
        <w:t xml:space="preserve">CTAP will be operationalized through five high-impact flagship programs representing Alberta’s research strengths, each serving as living testbeds for CRAIDL agent development and validation:</w:t>
      </w:r>
    </w:p>
    <w:p>
      <w:pPr>
        <w:pStyle w:val="BodyText"/>
      </w:pPr>
      <w:r>
        <w:t xml:space="preserve">Neuro-immunology and MS Cell Therapies: ACTM-manufactured cell products (regulatory T-cells, engineered lymphocytes) will be tested in early-phase MS and neuro-inflammatory trials, with longitudinal immune profiling, glycomics, metabolomics, and cryo-EM-supported structural insights.</w:t>
      </w:r>
    </w:p>
    <w:p>
      <w:pPr>
        <w:pStyle w:val="BodyText"/>
      </w:pPr>
      <w:r>
        <w:t xml:space="preserve">Hepatitis C and Vaccine Trials: PRAIRIE Hub infrastructure, Alberta Cryo-EM Facility, GIA, and TMIC will enable structure-guided design and immunologic profiling of vaccine candidates. API/CMPC provides a pathway to large-scale vaccine manufacturing (70M+ doses/year), while CTAP’s embedded trial capacity supports community-based, equity-focused recruitment.</w:t>
      </w:r>
    </w:p>
    <w:p>
      <w:pPr>
        <w:pStyle w:val="BodyText"/>
      </w:pPr>
      <w:r>
        <w:t xml:space="preserve">Precision Cardio-Renal-Metabolic Population Health: CVC-anchored pragmatic trials and registries combined with CBSR biospecimens, TMIC metabolomics, APM proteomics, and AI-based risk prediction; an Indigenous co-designed stream will deploy culturally safe protocols and governance.</w:t>
      </w:r>
    </w:p>
    <w:p>
      <w:pPr>
        <w:pStyle w:val="BodyText"/>
      </w:pPr>
      <w:r>
        <w:t xml:space="preserve">Pediatric Rare Disease Trials (RareKids-CAN): WCHRI DCC, Translational Genomics Hub, and CTAP will jointly support multi-centre pediatric trials with dynamic consent, harmonized SOPs, genomic characterization of variants of unknown significance, and integrated biobanking and RWE follow-up.</w:t>
      </w:r>
    </w:p>
    <w:p>
      <w:pPr>
        <w:pStyle w:val="BodyText"/>
      </w:pPr>
      <w:r>
        <w:t xml:space="preserve">CRAIDL AI Methodology Development: All flagship programs serve as testbeds for CRAIDL agent development and validation, enabling iterative refinement across diverse trial designs, disease areas, and regulatory contexts—extending the evidence base beyond oncology to neuro-immunology, infectious disease, cardiometabolic medicine, and pediatrics.</w:t>
      </w:r>
    </w:p>
    <w:bookmarkEnd w:id="16"/>
    <w:bookmarkStart w:id="17" w:name="the-translational-highway"/>
    <w:p>
      <w:pPr>
        <w:pStyle w:val="Heading2"/>
      </w:pPr>
      <w:r>
        <w:t xml:space="preserve">2.7 The Translational Highway</w:t>
      </w:r>
    </w:p>
    <w:p>
      <w:pPr>
        <w:pStyle w:val="FirstParagraph"/>
      </w:pPr>
      <w:r>
        <w:t xml:space="preserve">CTAP bridges the gap between discovery (T0) and population health impact (T4). When upstream facilities like DDIC or emerging initiatives such as DRIVE identify candidate molecules, CTAP provides the regulatory bridge to Phase I trials through ACTM. Molecular data generated by discovery scientists is validated against real-world patient outcomes, creating feedback loops that inform subsequent drug design.</w:t>
      </w:r>
    </w:p>
    <w:p>
      <w:pPr>
        <w:pStyle w:val="BodyText"/>
      </w:pPr>
      <w:r>
        <w:t xml:space="preserve">This framework ensures that institutional investments in basic science yield tangible health returns—CTAP is the missing link that connects world-class upstream assets to downstream patient benefit.</w:t>
      </w:r>
    </w:p>
    <w:bookmarkEnd w:id="17"/>
    <w:bookmarkStart w:id="18" w:name="feasibility"/>
    <w:p>
      <w:pPr>
        <w:pStyle w:val="Heading2"/>
      </w:pPr>
      <w:r>
        <w:t xml:space="preserve">2.8 Feasibility</w:t>
      </w:r>
    </w:p>
    <w:p>
      <w:pPr>
        <w:pStyle w:val="FirstParagraph"/>
      </w:pPr>
      <w:r>
        <w:t xml:space="preserve">CTAP is intentionally built on existing, operational strengths, significantly de-risking feasibility:</w:t>
      </w:r>
    </w:p>
    <w:p>
      <w:pPr>
        <w:pStyle w:val="Compact"/>
        <w:numPr>
          <w:ilvl w:val="0"/>
          <w:numId w:val="1002"/>
        </w:numPr>
      </w:pPr>
      <w:r>
        <w:t xml:space="preserve">UACT and CTO already provide a coordinated front door for clinical trials, with established processes for feasibility review, budgeting, and navigation.</w:t>
      </w:r>
    </w:p>
    <w:p>
      <w:pPr>
        <w:pStyle w:val="Compact"/>
        <w:numPr>
          <w:ilvl w:val="0"/>
          <w:numId w:val="1002"/>
        </w:numPr>
      </w:pPr>
      <w:r>
        <w:t xml:space="preserve">Canadian VIGOUR Centre has designed, operationalized, and disseminated over 50 clinical trials, providing ground-truth data and templates for CRAIDL agent training.</w:t>
      </w:r>
    </w:p>
    <w:p>
      <w:pPr>
        <w:pStyle w:val="Compact"/>
        <w:numPr>
          <w:ilvl w:val="0"/>
          <w:numId w:val="1002"/>
        </w:numPr>
      </w:pPr>
      <w:r>
        <w:t xml:space="preserve">Kipnes Health Research Institute has a dedicated Health Research Translation Unit designed to support clinical trials, project management, and data analysis.</w:t>
      </w:r>
    </w:p>
    <w:p>
      <w:pPr>
        <w:pStyle w:val="Compact"/>
        <w:numPr>
          <w:ilvl w:val="0"/>
          <w:numId w:val="1002"/>
        </w:numPr>
      </w:pPr>
      <w:r>
        <w:t xml:space="preserve">CBSR and ACTM are functioning facilities with trained staff, validated SOPs, and external clients; expansion and integration rather than de novo creation are required.</w:t>
      </w:r>
    </w:p>
    <w:p>
      <w:pPr>
        <w:pStyle w:val="Compact"/>
        <w:numPr>
          <w:ilvl w:val="0"/>
          <w:numId w:val="1002"/>
        </w:numPr>
      </w:pPr>
      <w:r>
        <w:t xml:space="preserve">Amii and CIFAR AI Chairs provide world-class AI expertise to co-develop CRAIDL agents with appropriate safety, privacy, and validation considerations.</w:t>
      </w:r>
    </w:p>
    <w:p>
      <w:pPr>
        <w:pStyle w:val="Compact"/>
        <w:numPr>
          <w:ilvl w:val="0"/>
          <w:numId w:val="1002"/>
        </w:numPr>
      </w:pPr>
      <w:r>
        <w:t xml:space="preserve">GIA, TMIC, and cryo-EM are established, CFI-funded core facilities with existing workflows; CTAP will connect their outputs to clinical trial pipelines.</w:t>
      </w:r>
    </w:p>
    <w:p>
      <w:pPr>
        <w:pStyle w:val="Compact"/>
        <w:numPr>
          <w:ilvl w:val="0"/>
          <w:numId w:val="1002"/>
        </w:numPr>
      </w:pPr>
      <w:r>
        <w:t xml:space="preserve">AWS clean room and DARC provide functioning secure data environments with institutional expertise in large-scale cloud and HPC solutions.</w:t>
      </w:r>
    </w:p>
    <w:p>
      <w:pPr>
        <w:pStyle w:val="FirstParagraph"/>
      </w:pPr>
      <w:r>
        <w:t xml:space="preserve">A phased implementation is planned over 4-5 years, with early wins (improved trial start-up metrics, initial CRAIDL agent deployment, integrated trial-biobank workflows) achievable within the first 18-24 months.</w:t>
      </w:r>
    </w:p>
    <w:bookmarkEnd w:id="18"/>
    <w:bookmarkStart w:id="19" w:name="X7d03e1d2bcf9e58c79c25dcc84981814735d557"/>
    <w:p>
      <w:pPr>
        <w:pStyle w:val="Heading2"/>
      </w:pPr>
      <w:r>
        <w:t xml:space="preserve">2.9 International Context and Competitiveness</w:t>
      </w:r>
    </w:p>
    <w:p>
      <w:pPr>
        <w:pStyle w:val="FirstParagraph"/>
      </w:pPr>
      <w:r>
        <w:t xml:space="preserve">Internationally, large academic health centres and consortia (UK Biobank and NHS trial platforms, All of Us in the U.S., German National Decade Against Cancer) are integrating biobanks, real-world data, and trials. AI tools are being developed across several RCT aspects, including patient identification, trial design, and statistical analysis. However, these elements remain disconnected—deployed in only a fraction of trial components—and evidence is concentrated in oncology settings at well-resourced centres.</w:t>
      </w:r>
    </w:p>
    <w:p>
      <w:pPr>
        <w:pStyle w:val="BodyText"/>
      </w:pPr>
      <w:r>
        <w:t xml:space="preserve">International models such as Queensland’s Translational Research Institute demonstrate the value of integrated translational precincts co-located with clinical facilities—combining discovery, manufacturing, and clinical trials within a single ecosystem. CTAP adapts this concept for the AI era, leveraging Alberta’s unique provincial health data infrastructure and Amii’s world-leading AI expertise to create not just an integrated precinct, but a learning health system with AI agents embedded across every operational workflow.</w:t>
      </w:r>
    </w:p>
    <w:p>
      <w:pPr>
        <w:pStyle w:val="BodyText"/>
      </w:pPr>
      <w:r>
        <w:t xml:space="preserve">CTAP and CRAIDL represent a fundamentally different approach: AI-augmentation at every stage of the RCT, from idea generation to knowledge mobilization, using coordinated agentic design. Few centres globally combine: (1) GMP manufacturing, (2) deep structural and systems biology, (3) national-scale metabolomics and glycomics, (4) a top-tier AI institute with CIFAR Chairs, (5) a mature academic trials organization with 50+ trial templates, and (6) a single-payer provincial health system with province-wide EMR—into a single clinical trials platform. CTAP is Canada’s first AI-native clinical trials platform, uniquely positioned to leverage these converging assets.</w:t>
      </w:r>
    </w:p>
    <w:bookmarkEnd w:id="19"/>
    <w:bookmarkStart w:id="20" w:name="role-of-core-facilities"/>
    <w:p>
      <w:pPr>
        <w:pStyle w:val="Heading2"/>
      </w:pPr>
      <w:r>
        <w:t xml:space="preserve">2.10 Role of Core Facilities</w:t>
      </w:r>
    </w:p>
    <w:p>
      <w:pPr>
        <w:pStyle w:val="FirstParagraph"/>
      </w:pPr>
      <w:r>
        <w:t xml:space="preserve">CTAP is inherently core-facility-based, leveraging an exceptional convergence of discovery, omics, manufacturing, and clinical infrastructure—representing over $400M in cumulative investment. The following facilities form an integrated bench-to-trials ecosystem accessible to all CTAP users through harmonized governance and service agreements:</w:t>
      </w:r>
    </w:p>
    <w:tbl>
      <w:tblPr>
        <w:tblStyle w:val="Table"/>
        <w:tblW w:type="pct" w:w="5000"/>
        <w:tblLayout w:type="fixed"/>
        <w:tblLook w:firstRow="1" w:lastRow="0" w:firstColumn="0" w:lastColumn="0" w:noHBand="0" w:noVBand="0" w:val="0020"/>
      </w:tblPr>
      <w:tblGrid>
        <w:gridCol w:w="1584"/>
        <w:gridCol w:w="1584"/>
        <w:gridCol w:w="1742"/>
        <w:gridCol w:w="3009"/>
      </w:tblGrid>
      <w:tr>
        <w:trPr>
          <w:tblHeader w:val="on"/>
        </w:trPr>
        <w:tc>
          <w:tcPr/>
          <w:p>
            <w:pPr>
              <w:pStyle w:val="Compact"/>
            </w:pPr>
            <w:r>
              <w:t xml:space="preserve">Category</w:t>
            </w:r>
          </w:p>
        </w:tc>
        <w:tc>
          <w:tcPr/>
          <w:p>
            <w:pPr>
              <w:pStyle w:val="Compact"/>
            </w:pPr>
            <w:r>
              <w:t xml:space="preserve">Facility</w:t>
            </w:r>
          </w:p>
        </w:tc>
        <w:tc>
          <w:tcPr/>
          <w:p>
            <w:pPr>
              <w:pStyle w:val="Compact"/>
            </w:pPr>
            <w:r>
              <w:t xml:space="preserve">CTAP Role</w:t>
            </w:r>
          </w:p>
        </w:tc>
        <w:tc>
          <w:tcPr/>
          <w:p>
            <w:pPr>
              <w:pStyle w:val="Compact"/>
            </w:pPr>
            <w:r>
              <w:t xml:space="preserve">CFI/Major Funding</w:t>
            </w:r>
          </w:p>
        </w:tc>
      </w:tr>
      <w:tr>
        <w:tc>
          <w:tcPr/>
          <w:p>
            <w:pPr>
              <w:pStyle w:val="Compact"/>
            </w:pPr>
            <w:r>
              <w:rPr>
                <w:b/>
                <w:bCs/>
              </w:rPr>
              <w:t xml:space="preserve">Clinical Operations</w:t>
            </w:r>
          </w:p>
        </w:tc>
        <w:tc>
          <w:tcPr/>
          <w:p>
            <w:pPr>
              <w:pStyle w:val="Compact"/>
            </w:pPr>
            <w:r>
              <w:t xml:space="preserve">UACT/CTO</w:t>
            </w:r>
          </w:p>
        </w:tc>
        <w:tc>
          <w:tcPr/>
          <w:p>
            <w:pPr>
              <w:pStyle w:val="Compact"/>
            </w:pPr>
            <w:r>
              <w:t xml:space="preserve">Trial coordination, regulatory navigation</w:t>
            </w:r>
          </w:p>
        </w:tc>
        <w:tc>
          <w:tcPr/>
          <w:p>
            <w:pPr>
              <w:pStyle w:val="Compact"/>
            </w:pPr>
            <w:r>
              <w:t xml:space="preserve">CTAP request</w:t>
            </w:r>
          </w:p>
        </w:tc>
      </w:tr>
      <w:tr>
        <w:tc>
          <w:tcPr/>
          <w:p>
            <w:pPr>
              <w:pStyle w:val="Compact"/>
            </w:pPr>
          </w:p>
        </w:tc>
        <w:tc>
          <w:tcPr/>
          <w:p>
            <w:pPr>
              <w:pStyle w:val="Compact"/>
            </w:pPr>
            <w:r>
              <w:t xml:space="preserve">Kipnes Institute</w:t>
            </w:r>
          </w:p>
        </w:tc>
        <w:tc>
          <w:tcPr/>
          <w:p>
            <w:pPr>
              <w:pStyle w:val="Compact"/>
            </w:pPr>
            <w:r>
              <w:t xml:space="preserve">Governance, Health Research Translation Unit</w:t>
            </w:r>
          </w:p>
        </w:tc>
        <w:tc>
          <w:tcPr/>
          <w:p>
            <w:pPr>
              <w:pStyle w:val="Compact"/>
            </w:pPr>
            <w:r>
              <w:t xml:space="preserve">$25M philanthropy</w:t>
            </w:r>
          </w:p>
        </w:tc>
      </w:tr>
      <w:tr>
        <w:tc>
          <w:tcPr/>
          <w:p>
            <w:pPr>
              <w:pStyle w:val="Compact"/>
            </w:pPr>
          </w:p>
        </w:tc>
        <w:tc>
          <w:tcPr/>
          <w:p>
            <w:pPr>
              <w:pStyle w:val="Compact"/>
            </w:pPr>
            <w:r>
              <w:t xml:space="preserve">Canadian VIGOUR Centre</w:t>
            </w:r>
          </w:p>
        </w:tc>
        <w:tc>
          <w:tcPr/>
          <w:p>
            <w:pPr>
              <w:pStyle w:val="Compact"/>
            </w:pPr>
            <w:r>
              <w:t xml:space="preserve">Trial design, methodology, 50+ trial templates</w:t>
            </w:r>
          </w:p>
        </w:tc>
        <w:tc>
          <w:tcPr/>
          <w:p>
            <w:pPr>
              <w:pStyle w:val="Compact"/>
            </w:pPr>
            <w:r>
              <w:t xml:space="preserve">Established</w:t>
            </w:r>
          </w:p>
        </w:tc>
      </w:tr>
      <w:tr>
        <w:tc>
          <w:tcPr/>
          <w:p>
            <w:pPr>
              <w:pStyle w:val="Compact"/>
            </w:pPr>
          </w:p>
        </w:tc>
        <w:tc>
          <w:tcPr/>
          <w:p>
            <w:pPr>
              <w:pStyle w:val="Compact"/>
            </w:pPr>
            <w:r>
              <w:t xml:space="preserve">WCHRI DCC</w:t>
            </w:r>
          </w:p>
        </w:tc>
        <w:tc>
          <w:tcPr/>
          <w:p>
            <w:pPr>
              <w:pStyle w:val="Compact"/>
            </w:pPr>
            <w:r>
              <w:t xml:space="preserve">Pediatric trials, data coordination</w:t>
            </w:r>
          </w:p>
        </w:tc>
        <w:tc>
          <w:tcPr/>
          <w:p>
            <w:pPr>
              <w:pStyle w:val="Compact"/>
            </w:pPr>
            <w:r>
              <w:t xml:space="preserve">Established</w:t>
            </w:r>
          </w:p>
        </w:tc>
      </w:tr>
      <w:tr>
        <w:tc>
          <w:tcPr/>
          <w:p>
            <w:pPr>
              <w:pStyle w:val="Compact"/>
            </w:pPr>
            <w:r>
              <w:rPr>
                <w:b/>
                <w:bCs/>
              </w:rPr>
              <w:t xml:space="preserve">Molecular Characterization</w:t>
            </w:r>
          </w:p>
        </w:tc>
        <w:tc>
          <w:tcPr/>
          <w:p>
            <w:pPr>
              <w:pStyle w:val="Compact"/>
            </w:pPr>
            <w:r>
              <w:t xml:space="preserve">Alberta Cryo-EM Facility</w:t>
            </w:r>
          </w:p>
        </w:tc>
        <w:tc>
          <w:tcPr/>
          <w:p>
            <w:pPr>
              <w:pStyle w:val="Compact"/>
            </w:pPr>
            <w:r>
              <w:t xml:space="preserve">Structure-guided drug design, vaccine characterization</w:t>
            </w:r>
          </w:p>
        </w:tc>
        <w:tc>
          <w:tcPr/>
          <w:p>
            <w:pPr>
              <w:pStyle w:val="Compact"/>
            </w:pPr>
            <w:r>
              <w:t xml:space="preserve">$20M SPP-ARC</w:t>
            </w:r>
          </w:p>
        </w:tc>
      </w:tr>
      <w:tr>
        <w:tc>
          <w:tcPr/>
          <w:p>
            <w:pPr>
              <w:pStyle w:val="Compact"/>
            </w:pPr>
          </w:p>
        </w:tc>
        <w:tc>
          <w:tcPr/>
          <w:p>
            <w:pPr>
              <w:pStyle w:val="Compact"/>
            </w:pPr>
            <w:r>
              <w:t xml:space="preserve">TMIC</w:t>
            </w:r>
          </w:p>
        </w:tc>
        <w:tc>
          <w:tcPr/>
          <w:p>
            <w:pPr>
              <w:pStyle w:val="Compact"/>
            </w:pPr>
            <w:r>
              <w:t xml:space="preserve">Metabolomics, biomarker discovery, 50K samples/year</w:t>
            </w:r>
          </w:p>
        </w:tc>
        <w:tc>
          <w:tcPr/>
          <w:p>
            <w:pPr>
              <w:pStyle w:val="Compact"/>
            </w:pPr>
            <w:r>
              <w:t xml:space="preserve">CFI MSI</w:t>
            </w:r>
          </w:p>
        </w:tc>
      </w:tr>
      <w:tr>
        <w:tc>
          <w:tcPr/>
          <w:p>
            <w:pPr>
              <w:pStyle w:val="Compact"/>
            </w:pPr>
          </w:p>
        </w:tc>
        <w:tc>
          <w:tcPr/>
          <w:p>
            <w:pPr>
              <w:pStyle w:val="Compact"/>
            </w:pPr>
            <w:r>
              <w:t xml:space="preserve">GIA</w:t>
            </w:r>
          </w:p>
        </w:tc>
        <w:tc>
          <w:tcPr/>
          <w:p>
            <w:pPr>
              <w:pStyle w:val="Compact"/>
            </w:pPr>
            <w:r>
              <w:t xml:space="preserve">Glycomics, glycan profiling, GlycoNet NCE host</w:t>
            </w:r>
          </w:p>
        </w:tc>
        <w:tc>
          <w:tcPr/>
          <w:p>
            <w:pPr>
              <w:pStyle w:val="Compact"/>
            </w:pPr>
            <w:r>
              <w:t xml:space="preserve">CFI + $2M AI/GlycoNet</w:t>
            </w:r>
          </w:p>
        </w:tc>
      </w:tr>
      <w:tr>
        <w:tc>
          <w:tcPr/>
          <w:p>
            <w:pPr>
              <w:pStyle w:val="Compact"/>
            </w:pPr>
          </w:p>
        </w:tc>
        <w:tc>
          <w:tcPr/>
          <w:p>
            <w:pPr>
              <w:pStyle w:val="Compact"/>
            </w:pPr>
            <w:r>
              <w:t xml:space="preserve">APM</w:t>
            </w:r>
          </w:p>
        </w:tc>
        <w:tc>
          <w:tcPr/>
          <w:p>
            <w:pPr>
              <w:pStyle w:val="Compact"/>
            </w:pPr>
            <w:r>
              <w:t xml:space="preserve">Proteomics, protein characterization</w:t>
            </w:r>
          </w:p>
        </w:tc>
        <w:tc>
          <w:tcPr/>
          <w:p>
            <w:pPr>
              <w:pStyle w:val="Compact"/>
            </w:pPr>
            <w:r>
              <w:t xml:space="preserve">Established</w:t>
            </w:r>
          </w:p>
        </w:tc>
      </w:tr>
      <w:tr>
        <w:tc>
          <w:tcPr/>
          <w:p>
            <w:pPr>
              <w:pStyle w:val="Compact"/>
            </w:pPr>
          </w:p>
        </w:tc>
        <w:tc>
          <w:tcPr/>
          <w:p>
            <w:pPr>
              <w:pStyle w:val="Compact"/>
            </w:pPr>
            <w:r>
              <w:t xml:space="preserve">Translational Genomics Hub</w:t>
            </w:r>
          </w:p>
        </w:tc>
        <w:tc>
          <w:tcPr/>
          <w:p>
            <w:pPr>
              <w:pStyle w:val="Compact"/>
            </w:pPr>
            <w:r>
              <w:t xml:space="preserve">Rare disease genomics, VUS resolution</w:t>
            </w:r>
          </w:p>
        </w:tc>
        <w:tc>
          <w:tcPr/>
          <w:p>
            <w:pPr>
              <w:pStyle w:val="Compact"/>
            </w:pPr>
            <w:r>
              <w:t xml:space="preserve">WCHRI</w:t>
            </w:r>
          </w:p>
        </w:tc>
      </w:tr>
      <w:tr>
        <w:tc>
          <w:tcPr/>
          <w:p>
            <w:pPr>
              <w:pStyle w:val="Compact"/>
            </w:pPr>
            <w:r>
              <w:rPr>
                <w:b/>
                <w:bCs/>
              </w:rPr>
              <w:t xml:space="preserve">Manufacturing</w:t>
            </w:r>
          </w:p>
        </w:tc>
        <w:tc>
          <w:tcPr/>
          <w:p>
            <w:pPr>
              <w:pStyle w:val="Compact"/>
            </w:pPr>
            <w:r>
              <w:t xml:space="preserve">ACTM</w:t>
            </w:r>
          </w:p>
        </w:tc>
        <w:tc>
          <w:tcPr/>
          <w:p>
            <w:pPr>
              <w:pStyle w:val="Compact"/>
            </w:pPr>
            <w:r>
              <w:t xml:space="preserve">GMP cell therapy, regulatory-compliant production</w:t>
            </w:r>
          </w:p>
        </w:tc>
        <w:tc>
          <w:tcPr/>
          <w:p>
            <w:pPr>
              <w:pStyle w:val="Compact"/>
            </w:pPr>
            <w:r>
              <w:t xml:space="preserve">CFI</w:t>
            </w:r>
          </w:p>
        </w:tc>
      </w:tr>
      <w:tr>
        <w:tc>
          <w:tcPr/>
          <w:p>
            <w:pPr>
              <w:pStyle w:val="Compact"/>
            </w:pPr>
          </w:p>
        </w:tc>
        <w:tc>
          <w:tcPr/>
          <w:p>
            <w:pPr>
              <w:pStyle w:val="Compact"/>
            </w:pPr>
            <w:r>
              <w:t xml:space="preserve">DDIC</w:t>
            </w:r>
          </w:p>
        </w:tc>
        <w:tc>
          <w:tcPr/>
          <w:p>
            <w:pPr>
              <w:pStyle w:val="Compact"/>
            </w:pPr>
            <w:r>
              <w:t xml:space="preserve">Phase I dosage forms, cGMP cleanrooms</w:t>
            </w:r>
          </w:p>
        </w:tc>
        <w:tc>
          <w:tcPr/>
          <w:p>
            <w:pPr>
              <w:pStyle w:val="Compact"/>
            </w:pPr>
            <w:r>
              <w:t xml:space="preserve">Health Canada licensed</w:t>
            </w:r>
          </w:p>
        </w:tc>
      </w:tr>
      <w:tr>
        <w:tc>
          <w:tcPr/>
          <w:p>
            <w:pPr>
              <w:pStyle w:val="Compact"/>
            </w:pPr>
          </w:p>
        </w:tc>
        <w:tc>
          <w:tcPr/>
          <w:p>
            <w:pPr>
              <w:pStyle w:val="Compact"/>
            </w:pPr>
            <w:r>
              <w:t xml:space="preserve">API/CMPC</w:t>
            </w:r>
          </w:p>
        </w:tc>
        <w:tc>
          <w:tcPr/>
          <w:p>
            <w:pPr>
              <w:pStyle w:val="Compact"/>
            </w:pPr>
            <w:r>
              <w:t xml:space="preserve">Large-scale vaccines/biologics (70M+ doses/year)</w:t>
            </w:r>
          </w:p>
        </w:tc>
        <w:tc>
          <w:tcPr/>
          <w:p>
            <w:pPr>
              <w:pStyle w:val="Compact"/>
            </w:pPr>
            <w:r>
              <w:t xml:space="preserve">$200M (completion 2026)</w:t>
            </w:r>
          </w:p>
        </w:tc>
      </w:tr>
      <w:tr>
        <w:tc>
          <w:tcPr/>
          <w:p>
            <w:pPr>
              <w:pStyle w:val="Compact"/>
            </w:pPr>
          </w:p>
        </w:tc>
        <w:tc>
          <w:tcPr/>
          <w:p>
            <w:pPr>
              <w:pStyle w:val="Compact"/>
            </w:pPr>
            <w:r>
              <w:t xml:space="preserve">PRAIRIE Hub</w:t>
            </w:r>
          </w:p>
        </w:tc>
        <w:tc>
          <w:tcPr/>
          <w:p>
            <w:pPr>
              <w:pStyle w:val="Compact"/>
            </w:pPr>
            <w:r>
              <w:t xml:space="preserve">Pandemic preparedness, vaccine platforms</w:t>
            </w:r>
          </w:p>
        </w:tc>
        <w:tc>
          <w:tcPr/>
          <w:p>
            <w:pPr>
              <w:pStyle w:val="Compact"/>
            </w:pPr>
            <w:r>
              <w:t xml:space="preserve">$109.9M CBRF/BRIF</w:t>
            </w:r>
          </w:p>
        </w:tc>
      </w:tr>
      <w:tr>
        <w:tc>
          <w:tcPr/>
          <w:p>
            <w:pPr>
              <w:pStyle w:val="Compact"/>
            </w:pPr>
            <w:r>
              <w:rPr>
                <w:b/>
                <w:bCs/>
              </w:rPr>
              <w:t xml:space="preserve">Biorepository</w:t>
            </w:r>
          </w:p>
        </w:tc>
        <w:tc>
          <w:tcPr/>
          <w:p>
            <w:pPr>
              <w:pStyle w:val="Compact"/>
            </w:pPr>
            <w:r>
              <w:t xml:space="preserve">CBSR</w:t>
            </w:r>
          </w:p>
        </w:tc>
        <w:tc>
          <w:tcPr/>
          <w:p>
            <w:pPr>
              <w:pStyle w:val="Compact"/>
            </w:pPr>
            <w:r>
              <w:t xml:space="preserve">Automated biobanking, EMR-linked samples</w:t>
            </w:r>
          </w:p>
        </w:tc>
        <w:tc>
          <w:tcPr/>
          <w:p>
            <w:pPr>
              <w:pStyle w:val="Compact"/>
            </w:pPr>
            <w:r>
              <w:t xml:space="preserve">CFI</w:t>
            </w:r>
          </w:p>
        </w:tc>
      </w:tr>
      <w:tr>
        <w:tc>
          <w:tcPr/>
          <w:p>
            <w:pPr>
              <w:pStyle w:val="Compact"/>
            </w:pPr>
            <w:r>
              <w:rPr>
                <w:b/>
                <w:bCs/>
              </w:rPr>
              <w:t xml:space="preserve">Data &amp; AI</w:t>
            </w:r>
          </w:p>
        </w:tc>
        <w:tc>
          <w:tcPr/>
          <w:p>
            <w:pPr>
              <w:pStyle w:val="Compact"/>
            </w:pPr>
            <w:r>
              <w:t xml:space="preserve">AWS Calgary</w:t>
            </w:r>
          </w:p>
        </w:tc>
        <w:tc>
          <w:tcPr/>
          <w:p>
            <w:pPr>
              <w:pStyle w:val="Compact"/>
            </w:pPr>
            <w:r>
              <w:t xml:space="preserve">Secure cloud, privacy-preserving analytics</w:t>
            </w:r>
          </w:p>
        </w:tc>
        <w:tc>
          <w:tcPr/>
          <w:p>
            <w:pPr>
              <w:pStyle w:val="Compact"/>
            </w:pPr>
            <w:r>
              <w:t xml:space="preserve">Partnership</w:t>
            </w:r>
          </w:p>
        </w:tc>
      </w:tr>
      <w:tr>
        <w:tc>
          <w:tcPr/>
          <w:p>
            <w:pPr>
              <w:pStyle w:val="Compact"/>
            </w:pPr>
          </w:p>
        </w:tc>
        <w:tc>
          <w:tcPr/>
          <w:p>
            <w:pPr>
              <w:pStyle w:val="Compact"/>
            </w:pPr>
            <w:r>
              <w:t xml:space="preserve">Amii</w:t>
            </w:r>
          </w:p>
        </w:tc>
        <w:tc>
          <w:tcPr/>
          <w:p>
            <w:pPr>
              <w:pStyle w:val="Compact"/>
            </w:pPr>
            <w:r>
              <w:t xml:space="preserve">CRAIDL AI development, CIFAR Chairs</w:t>
            </w:r>
          </w:p>
        </w:tc>
        <w:tc>
          <w:tcPr/>
          <w:p>
            <w:pPr>
              <w:pStyle w:val="Compact"/>
            </w:pPr>
            <w:r>
              <w:t xml:space="preserve">Partnership</w:t>
            </w:r>
          </w:p>
        </w:tc>
      </w:tr>
    </w:tbl>
    <w:p>
      <w:pPr>
        <w:pStyle w:val="BodyText"/>
      </w:pPr>
      <w:r>
        <w:t xml:space="preserve">UACT/CTO, Kipnes, NACTRC, CVC, and WCHRI DCC will operate as a distributed clinical trials core, providing standardized trial design, operations, monitoring, and data management support across all faculties. The molecular characterization, manufacturing, and biorepository facilities form an integrated bench-to-data core ecosystem.</w:t>
      </w:r>
    </w:p>
    <w:p>
      <w:pPr>
        <w:pStyle w:val="BodyText"/>
      </w:pPr>
      <w:r>
        <w:t xml:space="preserve">The CRAIDL AI agents will be deployed as core services, available to any investigator across all faculties of the College of Health Sciences and beyond. CTAP will explicitly adopt core-facility best practices: cost-recovery user fees, transparent access policies, training programs for HQP, and robust quality management systems. This core structure ensures the requested infrastructure will enable multiple research and technology-development programs, not a single narrow project.</w:t>
      </w:r>
    </w:p>
    <w:bookmarkEnd w:id="20"/>
    <w:bookmarkEnd w:id="21"/>
    <w:bookmarkStart w:id="22" w:name="research-team"/>
    <w:p>
      <w:pPr>
        <w:pStyle w:val="Heading1"/>
      </w:pPr>
      <w:r>
        <w:t xml:space="preserve">3. Research Team</w:t>
      </w:r>
    </w:p>
    <w:p>
      <w:pPr>
        <w:pStyle w:val="FirstParagraph"/>
      </w:pPr>
      <w:r>
        <w:t xml:space="preserve">The CTAP team brings together investigators and leaders spanning the full translational continuum—from AI-enabled discovery and structural biology to GMP manufacturing, clinical trials, biobanking, real-world evidence, and health system implementation. The team is intentionally interdisciplinary and includes expertise in Indigenous health, pediatrics, ethics, regulatory science, and computer science.</w:t>
      </w:r>
    </w:p>
    <w:p>
      <w:pPr>
        <w:pStyle w:val="BodyText"/>
      </w:pPr>
      <w:r>
        <w:t xml:space="preserve">Project Leads: TBD</w:t>
      </w:r>
    </w:p>
    <w:p>
      <w:pPr>
        <w:pStyle w:val="BodyText"/>
      </w:pPr>
      <w:r>
        <w:t xml:space="preserve">Clinical Trials and Pragmatic RCTs: Investigators from the Canadian VIGOUR Centre (with 50+ trials designed and delivered), Alberta Diabetes Institute, and WCHRI Data Coordinating Centre contribute deep experience in large-scale cardiovascular trials, diabetes innovations and trials, embedded and pragmatic RCTs, multi-centre pediatrics, and national network coordination (RareKids-CAN, ACT-AEC).</w:t>
      </w:r>
    </w:p>
    <w:p>
      <w:pPr>
        <w:pStyle w:val="BodyText"/>
      </w:pPr>
      <w:r>
        <w:t xml:space="preserve">AI and Computer Science: Faculty from Amii, including CIFAR AI Chairs with expertise in reinforcement learning, agentic design, and health AI, will co-develop CRAIDL agents. Collaboration with the Data Analytics Research Core and QBI at UCSF adds depth in machine learning, privacy-preserving analytics, and quantitative biosciences.</w:t>
      </w:r>
    </w:p>
    <w:p>
      <w:pPr>
        <w:pStyle w:val="BodyText"/>
      </w:pPr>
      <w:r>
        <w:t xml:space="preserve">Biomanufacturing and Cell Therapies: Leaders from ACTM and the planned pluripotent stem cell core bring GMP manufacturing, regulatory compliance, quality systems, and first-in-human trial experience for biologics and advanced cell therapies.</w:t>
      </w:r>
    </w:p>
    <w:p>
      <w:pPr>
        <w:pStyle w:val="BodyText"/>
      </w:pPr>
      <w:r>
        <w:t xml:space="preserve">Biobanking and Biospecimen Science: CBSR investigators provide internationally recognized expertise in biobanking, biospecimen process engineering, and integration of biobanks with clinical and trial data systems.</w:t>
      </w:r>
    </w:p>
    <w:p>
      <w:pPr>
        <w:pStyle w:val="BodyText"/>
      </w:pPr>
      <w:r>
        <w:t xml:space="preserve">Structural Biology, Glycomics, and Metabolomics: Scientific directors and core facility leads from cryo-EM, the Glycomics Institute of Alberta, and TMIC contribute leadership in structural virology, glycan biology, and metabolomics, with extensive experience in multi-omics integration.</w:t>
      </w:r>
    </w:p>
    <w:p>
      <w:pPr>
        <w:pStyle w:val="BodyText"/>
      </w:pPr>
      <w:r>
        <w:t xml:space="preserve">Regulatory Science and Research Ethics: Experts in Health Canada regulations, GCP/ICH requirements, and research ethics board processes will ensure CRAIDL agents meet all regulatory and ethical standards.</w:t>
      </w:r>
    </w:p>
    <w:p>
      <w:pPr>
        <w:pStyle w:val="BodyText"/>
      </w:pPr>
      <w:r>
        <w:t xml:space="preserve">Indigenous Health, EDI, and Patient Engagement: Indigenous scholars, patient partners, and community leaders will serve as co-investigators and governance partners, ensuring CTAP embodies Indigenous data sovereignty principles, culturally safe practices, and inclusive recruitment strategies.</w:t>
      </w:r>
    </w:p>
    <w:p>
      <w:pPr>
        <w:pStyle w:val="BodyText"/>
      </w:pPr>
      <w:r>
        <w:t xml:space="preserve">Disease-Area Expertise: Clinician-scientists in neurology, neuro-immunology, infectious diseases, hepatology, nephrology, cardiology, endocrinology, and pediatric subspecialties lead the flagship trial programs.</w:t>
      </w:r>
    </w:p>
    <w:p>
      <w:pPr>
        <w:pStyle w:val="BodyText"/>
      </w:pPr>
      <w:r>
        <w:t xml:space="preserve">The interdisciplinary nature of CTAP and CRAIDL is essential: none of this will be possible without the collaboration of computer scientists, regulatory experts, research ethics specialists, and health scientists across professions. All faculties of the College of Health Sciences participate in RCTs, and CRAIDL will draw on this wealth of knowledge to suggest study designs and protocols.</w:t>
      </w:r>
    </w:p>
    <w:bookmarkEnd w:id="22"/>
    <w:bookmarkStart w:id="23" w:name="equity-diversity-and-inclusion"/>
    <w:p>
      <w:pPr>
        <w:pStyle w:val="Heading1"/>
      </w:pPr>
      <w:r>
        <w:t xml:space="preserve">4. Equity, Diversity, and Inclusion</w:t>
      </w:r>
    </w:p>
    <w:p>
      <w:pPr>
        <w:pStyle w:val="FirstParagraph"/>
      </w:pPr>
      <w:r>
        <w:t xml:space="preserve">EDI principles are at the core of CTAP’s design and operations. Team composition reflects diversity across disciplines, career stages, gender, and backgrounds, and includes Indigenous scholars, patient partners, and community representatives as co-investigators and governance members—not only as advisors.</w:t>
      </w:r>
    </w:p>
    <w:p>
      <w:pPr>
        <w:pStyle w:val="BodyText"/>
      </w:pPr>
      <w:r>
        <w:t xml:space="preserve">We recognize systemic barriers in clinical trials and translational research—including under-representation of women, 2SLGBTQIA+ people, Indigenous and racialized communities, people with disabilities, and rural populations in both leadership and participation. CTAP will explicitly address these barriers through inclusive hiring and promotion practices, mentorship, and leadership opportunities for equity-deserving researchers and staff.</w:t>
      </w:r>
    </w:p>
    <w:p>
      <w:pPr>
        <w:pStyle w:val="BodyText"/>
      </w:pPr>
      <w:r>
        <w:t xml:space="preserve">At the project level, CTAP will embed EDI in trial design and operations: co-developing culturally safe protocols with Indigenous and community partners; implementing equity-sensitive recruitment strategies supported by AI tools audited for bias; and ensuring accessible consent processes (plain language, multiple languages, formats) and participant supports (travel, childcare where permissible). The CRAIDL Ethics Agent will incorporate EDI considerations into consent form generation and ethics submissions.</w:t>
      </w:r>
    </w:p>
    <w:p>
      <w:pPr>
        <w:pStyle w:val="BodyText"/>
      </w:pPr>
      <w:r>
        <w:t xml:space="preserve">Governance structures will formalize Indigenous data sovereignty principles and patient partnership in decision-making. Importantly, by extending AI-enabled trial capabilities beyond oncology and well-resourced academic centres, CTAP will help address the current concentration of evidence and broaden the populations who benefit from AI-enhanced clinical research.</w:t>
      </w:r>
    </w:p>
    <w:bookmarkEnd w:id="23"/>
    <w:bookmarkStart w:id="27" w:name="benefits"/>
    <w:p>
      <w:pPr>
        <w:pStyle w:val="Heading1"/>
      </w:pPr>
      <w:r>
        <w:t xml:space="preserve">5. Benefits</w:t>
      </w:r>
    </w:p>
    <w:p>
      <w:pPr>
        <w:pStyle w:val="FirstParagraph"/>
      </w:pPr>
      <w:r>
        <w:t xml:space="preserve">CTAP will generate significant social, economic, health, and innovation benefits for Canadians.</w:t>
      </w:r>
    </w:p>
    <w:bookmarkStart w:id="24" w:name="health-and-social-benefits"/>
    <w:p>
      <w:pPr>
        <w:pStyle w:val="Heading2"/>
      </w:pPr>
      <w:r>
        <w:t xml:space="preserve">Health and Social Benefits</w:t>
      </w:r>
    </w:p>
    <w:p>
      <w:pPr>
        <w:pStyle w:val="FirstParagraph"/>
      </w:pPr>
      <w:r>
        <w:t xml:space="preserve">By reducing trial start-up times—potentially from months to weeks via CRAIDL—and enabling more efficient, AI-informed trial design, CTAP will bring promising vaccines, cell therapies, biologics, and precision therapies to patients more quickly and safely. Evidence from existing AI implementations demonstrates the potential: 78% reduction in screening time, 4.5-fold faster eligibility determinations, and 83% reduction in data extraction effort.</w:t>
      </w:r>
    </w:p>
    <w:p>
      <w:pPr>
        <w:pStyle w:val="BodyText"/>
      </w:pPr>
      <w:r>
        <w:t xml:space="preserve">Alberta patients—including those with multiple sclerosis, chronic hepatitis C, cardio-renal-metabolic disease, and rare pediatric conditions—will gain earlier access to novel therapies and more opportunities to participate in high-quality trials. The CRAIDL system will democratize access to sophisticated trial design, enabling investigators who may currently lack infrastructure to translate discovery science into human trials. Indigenous and rural communities will benefit from co-designed, culturally safe, and geographically accessible trials.</w:t>
      </w:r>
    </w:p>
    <w:bookmarkEnd w:id="24"/>
    <w:bookmarkStart w:id="25" w:name="economic-and-innovation-benefits"/>
    <w:p>
      <w:pPr>
        <w:pStyle w:val="Heading2"/>
      </w:pPr>
      <w:r>
        <w:t xml:space="preserve">Economic and Innovation Benefits</w:t>
      </w:r>
    </w:p>
    <w:p>
      <w:pPr>
        <w:pStyle w:val="FirstParagraph"/>
      </w:pPr>
      <w:r>
        <w:t xml:space="preserve">CTAP will strengthen Alberta’s position as an international technology and innovation hub, directly supporting ATIS goals. Clinical trials in Canada contribute $15 billion annually; CRAIDL will attract R&amp;D from industrial partners, biotech developers, and external academics who seek the efficiency of AI-augmented trial design. By addressing the gap between patient identification and enrollment—where current AI tools show only 7% conversion—through integrated, end-to-end trial support, CTAP offers a compelling value proposition for sponsors.</w:t>
      </w:r>
    </w:p>
    <w:p>
      <w:pPr>
        <w:pStyle w:val="BodyText"/>
      </w:pPr>
      <w:r>
        <w:t xml:space="preserve">The platform will generate new IP in AI algorithms for trial design, analytical pipelines, and platform technologies. It will train highly qualified personnel at the intersection of clinical research, data science, AI, and biomanufacturing.</w:t>
      </w:r>
    </w:p>
    <w:bookmarkEnd w:id="25"/>
    <w:bookmarkStart w:id="26" w:name="Xb2c81006cecc4c07b7966c05cea1b85f7be4356"/>
    <w:p>
      <w:pPr>
        <w:pStyle w:val="Heading2"/>
      </w:pPr>
      <w:r>
        <w:t xml:space="preserve">Knowledge Mobilization and Technology Transfer</w:t>
      </w:r>
    </w:p>
    <w:p>
      <w:pPr>
        <w:pStyle w:val="FirstParagraph"/>
      </w:pPr>
      <w:r>
        <w:t xml:space="preserve">CRAIDL agents will be developed using open-source architecture and methodology, enabling deployment across the ACT-AEC network nationally and internationally—extending AI-enabled trial capabilities to settings beyond well-resourced academic centres. CTAP’s knowledge mobilization strategy includes: (1) rapid dissemination of trial results through open-access publications, conferences, and policy briefs; (2) co-development of clinical guidelines with professional societies and health-system partners; (3) integration of findings into provincial care pathways; and (4) patient-facing summaries and co-created communication tools.</w:t>
      </w:r>
    </w:p>
    <w:bookmarkEnd w:id="26"/>
    <w:bookmarkEnd w:id="27"/>
    <w:bookmarkStart w:id="33" w:name="infrastructure-request-justification"/>
    <w:p>
      <w:pPr>
        <w:pStyle w:val="Heading1"/>
      </w:pPr>
      <w:r>
        <w:t xml:space="preserve">6. Infrastructure Request Justification</w:t>
      </w:r>
    </w:p>
    <w:p>
      <w:pPr>
        <w:pStyle w:val="FirstParagraph"/>
      </w:pPr>
      <w:r>
        <w:t xml:space="preserve">The infrastructure requested for CTAP is necessary and appropriate to deliver the proposed research program and to transform existing strengths into an integrated, world-class clinical trials platform. The total request is $10,000,000 CAD, organized into five infrastructure suites aligned with the platform’s five integrated domains.</w:t>
      </w:r>
    </w:p>
    <w:bookmarkStart w:id="28" w:name="X7921aef81da59b296d76c2ed24bb3c8cc55c555"/>
    <w:p>
      <w:pPr>
        <w:pStyle w:val="Heading2"/>
      </w:pPr>
      <w:r>
        <w:t xml:space="preserve">Suite 1: Clinical Trials Participant &amp; Procedure Infrastructure ($1,700,000)</w:t>
      </w:r>
    </w:p>
    <w:p>
      <w:pPr>
        <w:pStyle w:val="FirstParagraph"/>
      </w:pPr>
      <w:r>
        <w:t xml:space="preserve">This suite readies UACT-led sites for complex trials (neuro-immunology, cell therapies, vaccine trials, pragmatic trials) with fit-for-purpose space and equipment. Key components include:</w:t>
      </w:r>
    </w:p>
    <w:p>
      <w:pPr>
        <w:pStyle w:val="Compact"/>
        <w:numPr>
          <w:ilvl w:val="0"/>
          <w:numId w:val="1003"/>
        </w:numPr>
      </w:pPr>
      <w:r>
        <w:t xml:space="preserve">Renovation and fit-out of CT suites (procedure rooms, monitoring bays, minor procedure rooms, negative-pressure capability, pharmacy cleanroom upgrades)</w:t>
      </w:r>
    </w:p>
    <w:p>
      <w:pPr>
        <w:pStyle w:val="Compact"/>
        <w:numPr>
          <w:ilvl w:val="0"/>
          <w:numId w:val="1003"/>
        </w:numPr>
      </w:pPr>
      <w:r>
        <w:t xml:space="preserve">Participant monitoring and infusion equipment (vital sign monitors, ECG, programmable infusion pumps, crash carts, resuscitation equipment)</w:t>
      </w:r>
    </w:p>
    <w:p>
      <w:pPr>
        <w:pStyle w:val="Compact"/>
        <w:numPr>
          <w:ilvl w:val="0"/>
          <w:numId w:val="1003"/>
        </w:numPr>
      </w:pPr>
      <w:r>
        <w:t xml:space="preserve">Point-of-care lab analyzers for rapid safety labs (blood gases, basic CHEM/HEM, coagulation)</w:t>
      </w:r>
    </w:p>
    <w:p>
      <w:pPr>
        <w:pStyle w:val="Compact"/>
        <w:numPr>
          <w:ilvl w:val="0"/>
          <w:numId w:val="1003"/>
        </w:numPr>
      </w:pPr>
      <w:r>
        <w:t xml:space="preserve">Secure IP pharmacy freezers/fridges with temperature monitoring and automated dispensing cabinets</w:t>
      </w:r>
    </w:p>
    <w:bookmarkEnd w:id="28"/>
    <w:bookmarkStart w:id="29" w:name="Xcb1e62ab7909e6b0611f5acfe1fe27d1dcfd4a8"/>
    <w:p>
      <w:pPr>
        <w:pStyle w:val="Heading2"/>
      </w:pPr>
      <w:r>
        <w:t xml:space="preserve">Suite 2: Biospecimen &amp; Cell Manufacturing ($3,290,000)</w:t>
      </w:r>
    </w:p>
    <w:p>
      <w:pPr>
        <w:pStyle w:val="FirstParagraph"/>
      </w:pPr>
      <w:r>
        <w:t xml:space="preserve">This suite expands CBSR, ACTM, and the future pluripotent stem cell core as the biospecimen &amp; advanced cell therapy backbone for vaccine, MS, neuro-immunology, and precision population-health trials. Components include:</w:t>
      </w:r>
    </w:p>
    <w:p>
      <w:pPr>
        <w:pStyle w:val="Compact"/>
        <w:numPr>
          <w:ilvl w:val="0"/>
          <w:numId w:val="1004"/>
        </w:numPr>
      </w:pPr>
      <w:r>
        <w:t xml:space="preserve">-80°C freezers with racks and CO₂ backup (10 units)</w:t>
      </w:r>
    </w:p>
    <w:p>
      <w:pPr>
        <w:pStyle w:val="Compact"/>
        <w:numPr>
          <w:ilvl w:val="0"/>
          <w:numId w:val="1004"/>
        </w:numPr>
      </w:pPr>
      <w:r>
        <w:t xml:space="preserve">LN₂ vapour-phase storage tanks with monitoring</w:t>
      </w:r>
    </w:p>
    <w:p>
      <w:pPr>
        <w:pStyle w:val="Compact"/>
        <w:numPr>
          <w:ilvl w:val="0"/>
          <w:numId w:val="1004"/>
        </w:numPr>
      </w:pPr>
      <w:r>
        <w:t xml:space="preserve">Class II biosafety cabinets and refrigerated centrifuges with biocontainment rotors</w:t>
      </w:r>
    </w:p>
    <w:p>
      <w:pPr>
        <w:pStyle w:val="Compact"/>
        <w:numPr>
          <w:ilvl w:val="0"/>
          <w:numId w:val="1004"/>
        </w:numPr>
      </w:pPr>
      <w:r>
        <w:t xml:space="preserve">Automated liquid handling system for high-throughput aliquoting</w:t>
      </w:r>
    </w:p>
    <w:p>
      <w:pPr>
        <w:pStyle w:val="Compact"/>
        <w:numPr>
          <w:ilvl w:val="0"/>
          <w:numId w:val="1004"/>
        </w:numPr>
      </w:pPr>
      <w:r>
        <w:t xml:space="preserve">GMP cell therapy bioreactors and cell washers (ACTM expansion)</w:t>
      </w:r>
    </w:p>
    <w:p>
      <w:pPr>
        <w:pStyle w:val="Compact"/>
        <w:numPr>
          <w:ilvl w:val="0"/>
          <w:numId w:val="1004"/>
        </w:numPr>
      </w:pPr>
      <w:r>
        <w:t xml:space="preserve">Clinical-grade incubators, microscopes, and cell counters</w:t>
      </w:r>
    </w:p>
    <w:p>
      <w:pPr>
        <w:pStyle w:val="Compact"/>
        <w:numPr>
          <w:ilvl w:val="0"/>
          <w:numId w:val="1004"/>
        </w:numPr>
      </w:pPr>
      <w:r>
        <w:t xml:space="preserve">Pluripotent stem cell automated culture platform</w:t>
      </w:r>
    </w:p>
    <w:p>
      <w:pPr>
        <w:pStyle w:val="Compact"/>
        <w:numPr>
          <w:ilvl w:val="0"/>
          <w:numId w:val="1004"/>
        </w:numPr>
      </w:pPr>
      <w:r>
        <w:t xml:space="preserve">24/7 environmental monitoring and facility control for GMP cleanrooms</w:t>
      </w:r>
    </w:p>
    <w:bookmarkEnd w:id="29"/>
    <w:bookmarkStart w:id="30" w:name="X5c31a8a8edd54b26051c30af4e1ada1fe97236d"/>
    <w:p>
      <w:pPr>
        <w:pStyle w:val="Heading2"/>
      </w:pPr>
      <w:r>
        <w:t xml:space="preserve">Suite 3: Translational Science Integration ($1,400,000)</w:t>
      </w:r>
    </w:p>
    <w:p>
      <w:pPr>
        <w:pStyle w:val="FirstParagraph"/>
      </w:pPr>
      <w:r>
        <w:t xml:space="preserve">This suite enables the seamless pathway from clinical trial sample to structure to mechanism to biomarker, leveraging the new cryo-EM facility, Glycomics Institute of Alberta, and TMIC metabolomics. Components include:</w:t>
      </w:r>
    </w:p>
    <w:p>
      <w:pPr>
        <w:pStyle w:val="Compact"/>
        <w:numPr>
          <w:ilvl w:val="0"/>
          <w:numId w:val="1005"/>
        </w:numPr>
      </w:pPr>
      <w:r>
        <w:t xml:space="preserve">Cryo-EM sample prep robotics (plunge freezer, vitrification robots, grids, environmental control)</w:t>
      </w:r>
    </w:p>
    <w:p>
      <w:pPr>
        <w:pStyle w:val="Compact"/>
        <w:numPr>
          <w:ilvl w:val="0"/>
          <w:numId w:val="1005"/>
        </w:numPr>
      </w:pPr>
      <w:r>
        <w:t xml:space="preserve">Sample prep and chromatography for glycomics/metabolomics trials (LC systems, autosamplers)</w:t>
      </w:r>
    </w:p>
    <w:p>
      <w:pPr>
        <w:pStyle w:val="Compact"/>
        <w:numPr>
          <w:ilvl w:val="0"/>
          <w:numId w:val="1005"/>
        </w:numPr>
      </w:pPr>
      <w:r>
        <w:t xml:space="preserve">High-throughput plate readers/imaging cytometers for pharmacodynamic assays</w:t>
      </w:r>
    </w:p>
    <w:p>
      <w:pPr>
        <w:pStyle w:val="Compact"/>
        <w:numPr>
          <w:ilvl w:val="0"/>
          <w:numId w:val="1005"/>
        </w:numPr>
      </w:pPr>
      <w:r>
        <w:t xml:space="preserve">Shared cold-chain sample logistics equipment for multi-site trials</w:t>
      </w:r>
    </w:p>
    <w:bookmarkEnd w:id="30"/>
    <w:bookmarkStart w:id="31" w:name="X0b933dc04184b2969802363c173a7dd5ee6cce0"/>
    <w:p>
      <w:pPr>
        <w:pStyle w:val="Heading2"/>
      </w:pPr>
      <w:r>
        <w:t xml:space="preserve">Suite 4: Data Platform, Secure Environments, AI/HPC ($2,480,000)</w:t>
      </w:r>
    </w:p>
    <w:p>
      <w:pPr>
        <w:pStyle w:val="FirstParagraph"/>
      </w:pPr>
      <w:r>
        <w:t xml:space="preserve">This suite builds the clinical-trials-ready, privacy-preserving data environment and AI infrastructure essential for both CTAP operations and CRAIDL development. Components include:</w:t>
      </w:r>
    </w:p>
    <w:p>
      <w:pPr>
        <w:pStyle w:val="Compact"/>
        <w:numPr>
          <w:ilvl w:val="0"/>
          <w:numId w:val="1006"/>
        </w:numPr>
      </w:pPr>
      <w:r>
        <w:t xml:space="preserve">On-prem secure data environment hardware (compute and storage nodes tied to SDRE/RDSS) for hosting de-identified trial data, SDTM datasets, and RWE linkages</w:t>
      </w:r>
    </w:p>
    <w:p>
      <w:pPr>
        <w:pStyle w:val="Compact"/>
        <w:numPr>
          <w:ilvl w:val="0"/>
          <w:numId w:val="1006"/>
        </w:numPr>
      </w:pPr>
      <w:r>
        <w:t xml:space="preserve">Networking, firewalls, VPN, and identity management integration (zero-trust-style perimeter)</w:t>
      </w:r>
    </w:p>
    <w:p>
      <w:pPr>
        <w:pStyle w:val="Compact"/>
        <w:numPr>
          <w:ilvl w:val="0"/>
          <w:numId w:val="1006"/>
        </w:numPr>
      </w:pPr>
      <w:r>
        <w:t xml:space="preserve">Core CT data platform (EDC, eSource, metadata catalog, APIs, audit trails) that CRAIDL agents will interface with</w:t>
      </w:r>
    </w:p>
    <w:p>
      <w:pPr>
        <w:pStyle w:val="Compact"/>
        <w:numPr>
          <w:ilvl w:val="0"/>
          <w:numId w:val="1006"/>
        </w:numPr>
      </w:pPr>
      <w:r>
        <w:t xml:space="preserve">GPU-enabled secure compute for AI agent development and deployment</w:t>
      </w:r>
    </w:p>
    <w:p>
      <w:pPr>
        <w:pStyle w:val="Compact"/>
        <w:numPr>
          <w:ilvl w:val="0"/>
          <w:numId w:val="1006"/>
        </w:numPr>
      </w:pPr>
      <w:r>
        <w:t xml:space="preserve">AWS professional services and consulting for architecture, security, and MLOps pipelines</w:t>
      </w:r>
    </w:p>
    <w:p>
      <w:pPr>
        <w:pStyle w:val="Compact"/>
        <w:numPr>
          <w:ilvl w:val="0"/>
          <w:numId w:val="1006"/>
        </w:numPr>
      </w:pPr>
      <w:r>
        <w:t xml:space="preserve">AWS cloud credits/committed spend for compute, storage, and AI services (5 years)</w:t>
      </w:r>
    </w:p>
    <w:bookmarkEnd w:id="31"/>
    <w:bookmarkStart w:id="32" w:name="Xef2e2c3f2b495c299f6302223bb66b65000c1ca"/>
    <w:p>
      <w:pPr>
        <w:pStyle w:val="Heading2"/>
      </w:pPr>
      <w:r>
        <w:t xml:space="preserve">Suite 5: Trial Innovation Tools &amp; Wearables ($1,130,000)</w:t>
      </w:r>
    </w:p>
    <w:p>
      <w:pPr>
        <w:pStyle w:val="FirstParagraph"/>
      </w:pPr>
      <w:r>
        <w:t xml:space="preserve">This suite enables decentralized, embedded, and pragmatic trials—especially for Precision Population Health and Indigenous streams—with modern eConsent, digital recruitment, telehealth, and wearable-based monitoring. Components include:</w:t>
      </w:r>
    </w:p>
    <w:p>
      <w:pPr>
        <w:pStyle w:val="Compact"/>
        <w:numPr>
          <w:ilvl w:val="0"/>
          <w:numId w:val="1007"/>
        </w:numPr>
      </w:pPr>
      <w:r>
        <w:t xml:space="preserve">Enterprise eConsent and digital recruitment platform with patient portal (which CRAIDL’s Ethics Agent will interface with for consent form generation)</w:t>
      </w:r>
    </w:p>
    <w:p>
      <w:pPr>
        <w:pStyle w:val="Compact"/>
        <w:numPr>
          <w:ilvl w:val="0"/>
          <w:numId w:val="1007"/>
        </w:numPr>
      </w:pPr>
      <w:r>
        <w:t xml:space="preserve">Mobile devices and kiosks for consent and data capture in clinics (80 units)</w:t>
      </w:r>
    </w:p>
    <w:p>
      <w:pPr>
        <w:pStyle w:val="Compact"/>
        <w:numPr>
          <w:ilvl w:val="0"/>
          <w:numId w:val="1007"/>
        </w:numPr>
      </w:pPr>
      <w:r>
        <w:t xml:space="preserve">Wearable devices for decentralized trials (ECG patches, BP monitors, actigraphy—250 units)</w:t>
      </w:r>
    </w:p>
    <w:p>
      <w:pPr>
        <w:pStyle w:val="Compact"/>
        <w:numPr>
          <w:ilvl w:val="0"/>
          <w:numId w:val="1007"/>
        </w:numPr>
      </w:pPr>
      <w:r>
        <w:t xml:space="preserve">Remote monitoring and telehealth kits for rural/Indigenous sites (20 kits)</w:t>
      </w:r>
    </w:p>
    <w:p>
      <w:pPr>
        <w:pStyle w:val="Compact"/>
        <w:numPr>
          <w:ilvl w:val="0"/>
          <w:numId w:val="1007"/>
        </w:numPr>
      </w:pPr>
      <w:r>
        <w:t xml:space="preserve">Data visualization and trial oversight dashboards that integrate with CRAIDL’s Data Management Agent outputs</w:t>
      </w:r>
    </w:p>
    <w:bookmarkEnd w:id="32"/>
    <w:bookmarkEnd w:id="33"/>
    <w:bookmarkStart w:id="38" w:name="sustainability"/>
    <w:p>
      <w:pPr>
        <w:pStyle w:val="Heading1"/>
      </w:pPr>
      <w:r>
        <w:t xml:space="preserve">7. Sustainability</w:t>
      </w:r>
    </w:p>
    <w:bookmarkStart w:id="34" w:name="governance-and-management"/>
    <w:p>
      <w:pPr>
        <w:pStyle w:val="Heading2"/>
      </w:pPr>
      <w:r>
        <w:t xml:space="preserve">Governance and Management</w:t>
      </w:r>
    </w:p>
    <w:p>
      <w:pPr>
        <w:pStyle w:val="FirstParagraph"/>
      </w:pPr>
      <w:r>
        <w:t xml:space="preserve">CTAP will be governed through a multi-tier structure:</w:t>
      </w:r>
    </w:p>
    <w:p>
      <w:pPr>
        <w:pStyle w:val="Compact"/>
        <w:numPr>
          <w:ilvl w:val="0"/>
          <w:numId w:val="1008"/>
        </w:numPr>
      </w:pPr>
      <w:r>
        <w:t xml:space="preserve">CTAP Steering Committee chaired by the UACT Director, with representation from CTO, Kipnes, NACTRC, CVC, WCHRI DCC, CBSR, ACTM, GIA, TMIC, Amii, Indigenous leadership, patient partners, and the College of Health Sciences</w:t>
      </w:r>
    </w:p>
    <w:p>
      <w:pPr>
        <w:pStyle w:val="Compact"/>
        <w:numPr>
          <w:ilvl w:val="0"/>
          <w:numId w:val="1008"/>
        </w:numPr>
      </w:pPr>
      <w:r>
        <w:t xml:space="preserve">Operations Committee responsible for day-to-day coordination across cores</w:t>
      </w:r>
    </w:p>
    <w:p>
      <w:pPr>
        <w:pStyle w:val="Compact"/>
        <w:numPr>
          <w:ilvl w:val="0"/>
          <w:numId w:val="1008"/>
        </w:numPr>
      </w:pPr>
      <w:r>
        <w:t xml:space="preserve">CRAIDL Development Committee with AI/computer science and clinical trials expertise to oversee agent development, testing, and deployment</w:t>
      </w:r>
    </w:p>
    <w:p>
      <w:pPr>
        <w:pStyle w:val="Compact"/>
        <w:numPr>
          <w:ilvl w:val="0"/>
          <w:numId w:val="1008"/>
        </w:numPr>
      </w:pPr>
      <w:r>
        <w:t xml:space="preserve">EDI and Indigenous Advisory Council</w:t>
      </w:r>
    </w:p>
    <w:p>
      <w:pPr>
        <w:pStyle w:val="Compact"/>
        <w:numPr>
          <w:ilvl w:val="0"/>
          <w:numId w:val="1008"/>
        </w:numPr>
      </w:pPr>
      <w:r>
        <w:t xml:space="preserve">Scientific Advisory Board with external members (national and international), including representatives from ACT-AEC, PRAIRIE Hub, and QBI</w:t>
      </w:r>
    </w:p>
    <w:bookmarkEnd w:id="34"/>
    <w:bookmarkStart w:id="35" w:name="institutional-supports"/>
    <w:p>
      <w:pPr>
        <w:pStyle w:val="Heading2"/>
      </w:pPr>
      <w:r>
        <w:t xml:space="preserve">Institutional Supports</w:t>
      </w:r>
    </w:p>
    <w:p>
      <w:pPr>
        <w:pStyle w:val="FirstParagraph"/>
      </w:pPr>
      <w:r>
        <w:t xml:space="preserve">The University of Alberta and the College of Health Sciences have committed to: allocating and maintaining space for CTAP in the Dianne and Irving Kipnes Health Research Academy and associated clinical and research facilities; providing base support for key personnel (CTAP Program Director, Operations Manager, Data Architect, Biobank Operations Lead, Indigenous Engagement Lead, CRAIDL Development Lead); and integrating CTAP into institutional strategic plans and core-facility frameworks.</w:t>
      </w:r>
    </w:p>
    <w:bookmarkEnd w:id="35"/>
    <w:bookmarkStart w:id="36" w:name="operations-and-maintenance-costs"/>
    <w:p>
      <w:pPr>
        <w:pStyle w:val="Heading2"/>
      </w:pPr>
      <w:r>
        <w:t xml:space="preserve">Operations and Maintenance Costs</w:t>
      </w:r>
    </w:p>
    <w:p>
      <w:pPr>
        <w:pStyle w:val="FirstParagraph"/>
      </w:pPr>
      <w:r>
        <w:t xml:space="preserve">Major ongoing costs will be covered through a diversified funding model:</w:t>
      </w:r>
    </w:p>
    <w:p>
      <w:pPr>
        <w:pStyle w:val="Compact"/>
        <w:numPr>
          <w:ilvl w:val="0"/>
          <w:numId w:val="1009"/>
        </w:numPr>
      </w:pPr>
      <w:r>
        <w:t xml:space="preserve">Infrastructure Operating Fund (IOF) allocations tied to the CFI investment</w:t>
      </w:r>
    </w:p>
    <w:p>
      <w:pPr>
        <w:pStyle w:val="Compact"/>
        <w:numPr>
          <w:ilvl w:val="0"/>
          <w:numId w:val="1009"/>
        </w:numPr>
      </w:pPr>
      <w:r>
        <w:t xml:space="preserve">Cost-recovery user fees for biobanking, GMP manufacturing, omics, and data/analytics services</w:t>
      </w:r>
    </w:p>
    <w:p>
      <w:pPr>
        <w:pStyle w:val="Compact"/>
        <w:numPr>
          <w:ilvl w:val="0"/>
          <w:numId w:val="1009"/>
        </w:numPr>
      </w:pPr>
      <w:r>
        <w:t xml:space="preserve">Industry contracts and service agreements for clinical trials (attracted by CRAIDL efficiency)</w:t>
      </w:r>
    </w:p>
    <w:p>
      <w:pPr>
        <w:pStyle w:val="Compact"/>
        <w:numPr>
          <w:ilvl w:val="0"/>
          <w:numId w:val="1009"/>
        </w:numPr>
      </w:pPr>
      <w:r>
        <w:t xml:space="preserve">Grant funding and renewals (PRAIRIE Hub, ACT-AEC, RareKids-CAN, CIHR trials programs, NFRF)</w:t>
      </w:r>
    </w:p>
    <w:p>
      <w:pPr>
        <w:pStyle w:val="Compact"/>
        <w:numPr>
          <w:ilvl w:val="0"/>
          <w:numId w:val="1009"/>
        </w:numPr>
      </w:pPr>
      <w:r>
        <w:t xml:space="preserve">Institutional and philanthropic support, including leveraging the Kipnes gift</w:t>
      </w:r>
    </w:p>
    <w:bookmarkEnd w:id="36"/>
    <w:bookmarkStart w:id="37" w:name="accessibility-management-and-optimal-use"/>
    <w:p>
      <w:pPr>
        <w:pStyle w:val="Heading2"/>
      </w:pPr>
      <w:r>
        <w:t xml:space="preserve">Accessibility, Management, and Optimal Use</w:t>
      </w:r>
    </w:p>
    <w:p>
      <w:pPr>
        <w:pStyle w:val="FirstParagraph"/>
      </w:pPr>
      <w:r>
        <w:t xml:space="preserve">As a core facility, CTAP will ensure optimal utilization and accessibility by: implementing transparent access and prioritization policies; maintaining common SOPs, service menus, and pricing across cores; tracking utilization, performance metrics, and user satisfaction; providing training and mentorship programs for HQP and investigators; making CRAIDL agents available to attract RCT projects including R&amp;D from industrial partners; and meeting or exceeding quality, safety, and regulatory metrics required as a sponsor of RCTs.</w:t>
      </w:r>
    </w:p>
    <w:bookmarkEnd w:id="37"/>
    <w:bookmarkEnd w:id="38"/>
    <w:bookmarkStart w:id="51" w:name="supplemental-information-sections"/>
    <w:p>
      <w:pPr>
        <w:pStyle w:val="Heading1"/>
      </w:pPr>
      <w:r>
        <w:t xml:space="preserve">8. Supplemental Information Sections</w:t>
      </w:r>
    </w:p>
    <w:bookmarkStart w:id="39" w:name="research-data-management"/>
    <w:p>
      <w:pPr>
        <w:pStyle w:val="Heading2"/>
      </w:pPr>
      <w:r>
        <w:t xml:space="preserve">8.1 Research Data Management</w:t>
      </w:r>
    </w:p>
    <w:p>
      <w:pPr>
        <w:pStyle w:val="FirstParagraph"/>
      </w:pPr>
      <w:r>
        <w:t xml:space="preserve">Data generated through CTAP will be managed under a unified Data Governance and Management Framework aligned with UofA policies, AHS agreements, and national guidance. Clinical trial data, biospecimen metadata, and linked EMR/RWE datasets will be stored in the AWS clean-room environment and/or institutional secure servers, with role-based access controls, audit trails, and documented SOPs. The CRAIDL Data Management Agent will integrate with these systems for statistical design, EDC creation, and data cleaning. Ground-truth training data for CRAIDL (protocols, SAPs, templates from CVC’s 50+ trials) will be managed with appropriate version control and documentation.</w:t>
      </w:r>
    </w:p>
    <w:p>
      <w:pPr>
        <w:pStyle w:val="BodyText"/>
      </w:pPr>
      <w:r>
        <w:t xml:space="preserve">Where appropriate, de-identified data will be shared via governed mechanisms (controlled-access repositories, data-sharing agreements with consortia, national platforms such as ACT-AEC and RareKids-CAN). CRAIDL agents developed using open-source methodology will be documented and deployable across the national network.</w:t>
      </w:r>
    </w:p>
    <w:bookmarkEnd w:id="39"/>
    <w:bookmarkStart w:id="40" w:name="technology-transfer"/>
    <w:p>
      <w:pPr>
        <w:pStyle w:val="Heading2"/>
      </w:pPr>
      <w:r>
        <w:t xml:space="preserve">8.2 Technology Transfer</w:t>
      </w:r>
    </w:p>
    <w:p>
      <w:pPr>
        <w:pStyle w:val="FirstParagraph"/>
      </w:pPr>
      <w:r>
        <w:t xml:space="preserve">CTAP will work closely with the university’s research innovation and commercialization office to identify, protect, and mobilize IP arising from the platform. CRAIDL represents a significant technology transfer opportunity: AI agents for protocol development, data management, event adjudication, ethics submissions, regulatory compliance, and budgeting have commercial value for pharmaceutical companies, CROs, and academic research organizations. The team will follow standard processes for invention disclosure, IP assessment, and protection, while maintaining commitment to open-source deployment of core CRAIDL agents across the ACT-AEC network.</w:t>
      </w:r>
    </w:p>
    <w:p>
      <w:pPr>
        <w:pStyle w:val="BodyText"/>
      </w:pPr>
      <w:r>
        <w:t xml:space="preserve">Beyond formal IP, CTAP’s platform outputs—standardized SOPs, governance models, trial designs, analytical methods, and CRAIDL agents—will be shared through publications, open-source repositories, training programs, and knowledge-exchange activities.</w:t>
      </w:r>
    </w:p>
    <w:bookmarkEnd w:id="40"/>
    <w:bookmarkStart w:id="41" w:name="information-services-technology-ist"/>
    <w:p>
      <w:pPr>
        <w:pStyle w:val="Heading2"/>
      </w:pPr>
      <w:r>
        <w:t xml:space="preserve">8.3 Information Services &amp; Technology (IST)</w:t>
      </w:r>
    </w:p>
    <w:p>
      <w:pPr>
        <w:pStyle w:val="FirstParagraph"/>
      </w:pPr>
      <w:r>
        <w:t xml:space="preserve">CTAP’s research workflows rely heavily on advanced computing and networking. Trial, biobank, and EMR/RWE data will flow from clinical sites and core facilities into the AWS clean-room environment and/or RDSS, requiring high-throughput, secure network connections and robust identity and access management. CRAIDL development requires GPU-enabled secure compute for LLM API integration, agent development (primarily via Python), and human evaluation systems. Total data volumes are expected to be in the multi-petabyte range, driven by omics, cryo-EM datasets, and large-scale trial and EMR data.</w:t>
      </w:r>
    </w:p>
    <w:p>
      <w:pPr>
        <w:pStyle w:val="BodyText"/>
      </w:pPr>
      <w:r>
        <w:t xml:space="preserve">CTAP will collaborate with IST, DARC, and the Digital Research Alliance of Canada to ensure that new or expanded compute and storage resources above $100,000 are appropriately housed and managed.</w:t>
      </w:r>
    </w:p>
    <w:bookmarkEnd w:id="41"/>
    <w:bookmarkStart w:id="42" w:name="research-security"/>
    <w:p>
      <w:pPr>
        <w:pStyle w:val="Heading2"/>
      </w:pPr>
      <w:r>
        <w:t xml:space="preserve">8.4 Research Security</w:t>
      </w:r>
    </w:p>
    <w:p>
      <w:pPr>
        <w:pStyle w:val="FirstParagraph"/>
      </w:pPr>
      <w:r>
        <w:t xml:space="preserve">CTAP will comply fully with the National Security Guidelines for Research Partnerships and the Policy on Sensitive Technology Research and Affiliations of Concern (STRAC). Partnerships with private-sector entities (AWS, equipment vendors, potential pharma partners) will be reviewed in consultation with the UofA Safeguarding Research Office (SRO). CRAIDL development involves domain-dependent considerations for safety, privacy, and validation that will be addressed through appropriate security protocols, ethics review, and alignment with AHS and UofA information-security policies.</w:t>
      </w:r>
    </w:p>
    <w:bookmarkEnd w:id="42"/>
    <w:bookmarkStart w:id="43" w:name="health-safety-and-environment"/>
    <w:p>
      <w:pPr>
        <w:pStyle w:val="Heading2"/>
      </w:pPr>
      <w:r>
        <w:t xml:space="preserve">8.5 Health, Safety, and Environment</w:t>
      </w:r>
    </w:p>
    <w:p>
      <w:pPr>
        <w:pStyle w:val="FirstParagraph"/>
      </w:pPr>
      <w:r>
        <w:t xml:space="preserve">Several CTAP infrastructure components require specific HSE considerations:</w:t>
      </w:r>
    </w:p>
    <w:p>
      <w:pPr>
        <w:pStyle w:val="Compact"/>
        <w:numPr>
          <w:ilvl w:val="0"/>
          <w:numId w:val="1010"/>
        </w:numPr>
      </w:pPr>
      <w:r>
        <w:t xml:space="preserve">Biobanking (CBSR) and PSC core: Large-scale ultra-low freezer installations require appropriate electrical capacity, backup power, environmental monitoring, and public-safety measures.</w:t>
      </w:r>
    </w:p>
    <w:p>
      <w:pPr>
        <w:pStyle w:val="Compact"/>
        <w:numPr>
          <w:ilvl w:val="0"/>
          <w:numId w:val="1010"/>
        </w:numPr>
      </w:pPr>
      <w:r>
        <w:t xml:space="preserve">ACTM and cleanrooms: GMP cleanrooms require validated environmental controls, PPE, and rigorous SOPs.</w:t>
      </w:r>
    </w:p>
    <w:p>
      <w:pPr>
        <w:pStyle w:val="Compact"/>
        <w:numPr>
          <w:ilvl w:val="0"/>
          <w:numId w:val="1010"/>
        </w:numPr>
      </w:pPr>
      <w:r>
        <w:t xml:space="preserve">Omics and imaging equipment: LC-MS/MS and cryo-EM equipment require appropriate solvent handling, high-voltage safety, and cryogen-handling procedures.</w:t>
      </w:r>
    </w:p>
    <w:p>
      <w:pPr>
        <w:pStyle w:val="FirstParagraph"/>
      </w:pPr>
      <w:r>
        <w:t xml:space="preserve">CTAP will work with HSE and facility management to ensure all infrastructure meets relevant safety and environmental standards.</w:t>
      </w:r>
    </w:p>
    <w:bookmarkEnd w:id="43"/>
    <w:bookmarkStart w:id="44" w:name="animal-housing"/>
    <w:p>
      <w:pPr>
        <w:pStyle w:val="Heading2"/>
      </w:pPr>
      <w:r>
        <w:t xml:space="preserve">8.6 Animal Housing</w:t>
      </w:r>
    </w:p>
    <w:p>
      <w:pPr>
        <w:pStyle w:val="FirstParagraph"/>
      </w:pPr>
      <w:r>
        <w:t xml:space="preserve">At present, CTAP does not request infrastructure specifically for animal housing. Pre-clinical work feeding into CTAP will use existing animal facilities where needed, under separate governance and approvals.</w:t>
      </w:r>
    </w:p>
    <w:bookmarkEnd w:id="44"/>
    <w:bookmarkStart w:id="49" w:name="risks"/>
    <w:p>
      <w:pPr>
        <w:pStyle w:val="Heading2"/>
      </w:pPr>
      <w:r>
        <w:t xml:space="preserve">8.7 Risks</w:t>
      </w:r>
    </w:p>
    <w:p>
      <w:pPr>
        <w:pStyle w:val="FirstParagraph"/>
      </w:pPr>
      <w:r>
        <w:t xml:space="preserve">CTAP has identified key risks across operational, technical, and strategic domains, with corresponding mitigation strategies.</w:t>
      </w:r>
    </w:p>
    <w:bookmarkStart w:id="45" w:name="operational-risks"/>
    <w:p>
      <w:pPr>
        <w:pStyle w:val="Heading3"/>
      </w:pPr>
      <w:r>
        <w:t xml:space="preserve">Operational Risks</w:t>
      </w:r>
    </w:p>
    <w:p>
      <w:pPr>
        <w:pStyle w:val="FirstParagraph"/>
      </w:pPr>
      <w:r>
        <w:rPr>
          <w:b/>
          <w:bCs/>
        </w:rPr>
        <w:t xml:space="preserve">Infrastructure procurement and installation delays.</w:t>
      </w:r>
      <w:r>
        <w:t xml:space="preserve"> </w:t>
      </w:r>
      <w:r>
        <w:t xml:space="preserve">Given the scale and complexity of CTAP equipment (LC-MS/MS systems, cryo-EM, automated biobanking), delays in procurement or installation represent a high-impact risk. Mitigation includes phased implementation with parallel workstreams, early engagement with procurement and facilities management, and contingency timelines built into the project plan.</w:t>
      </w:r>
    </w:p>
    <w:p>
      <w:pPr>
        <w:pStyle w:val="BodyText"/>
      </w:pPr>
      <w:r>
        <w:rPr>
          <w:b/>
          <w:bCs/>
        </w:rPr>
        <w:t xml:space="preserve">Workforce recruitment and retention.</w:t>
      </w:r>
      <w:r>
        <w:t xml:space="preserve"> </w:t>
      </w:r>
      <w:r>
        <w:t xml:space="preserve">Securing and retaining personnel with expertise in AI, clinical informatics, and advanced laboratory techniques is challenging in a competitive market. CTAP will address this through competitive salary structures, partnership with Amii for AI expertise, training programs to develop local talent, and succession planning for key positions.</w:t>
      </w:r>
    </w:p>
    <w:p>
      <w:pPr>
        <w:pStyle w:val="BodyText"/>
      </w:pPr>
      <w:r>
        <w:rPr>
          <w:b/>
          <w:bCs/>
        </w:rPr>
        <w:t xml:space="preserve">Integration with Connect Care and existing systems.</w:t>
      </w:r>
      <w:r>
        <w:t xml:space="preserve"> </w:t>
      </w:r>
      <w:r>
        <w:t xml:space="preserve">Achieving seamless integration with AHS Connect Care and institutional research systems requires careful coordination. A dedicated integration team will conduct early proof-of-concept testing, implement standardized APIs and data formats, and maintain close collaboration with AHS IT throughout implementation.</w:t>
      </w:r>
    </w:p>
    <w:bookmarkEnd w:id="45"/>
    <w:bookmarkStart w:id="46" w:name="technical-risks"/>
    <w:p>
      <w:pPr>
        <w:pStyle w:val="Heading3"/>
      </w:pPr>
      <w:r>
        <w:t xml:space="preserve">Technical Risks</w:t>
      </w:r>
    </w:p>
    <w:p>
      <w:pPr>
        <w:pStyle w:val="FirstParagraph"/>
      </w:pPr>
      <w:r>
        <w:rPr>
          <w:b/>
          <w:bCs/>
        </w:rPr>
        <w:t xml:space="preserve">Heterogeneous data integration.</w:t>
      </w:r>
      <w:r>
        <w:t xml:space="preserve"> </w:t>
      </w:r>
      <w:r>
        <w:t xml:space="preserve">Clinical, omics, imaging, and operational data originate from diverse sources with varying formats and quality standards. CTAP will adopt the OMOP Common Data Model, establish a robust data governance framework, and dedicate engineering resources specifically to data harmonization.</w:t>
      </w:r>
    </w:p>
    <w:p>
      <w:pPr>
        <w:pStyle w:val="BodyText"/>
      </w:pPr>
      <w:r>
        <w:rPr>
          <w:b/>
          <w:bCs/>
        </w:rPr>
        <w:t xml:space="preserve">CRAIDL agent performance variability.</w:t>
      </w:r>
      <w:r>
        <w:t xml:space="preserve"> </w:t>
      </w:r>
      <w:r>
        <w:t xml:space="preserve">Evidence from AI applications in clinical research shows substantial performance variability across settings (sensitivity ranging from 46.7% to 95% across different trials). CTAP will implement context-specific validation protocols, human-in-the-loop evaluation systems, and iterative refinement based on real-world performance metrics.</w:t>
      </w:r>
    </w:p>
    <w:p>
      <w:pPr>
        <w:pStyle w:val="BodyText"/>
      </w:pPr>
      <w:r>
        <w:rPr>
          <w:b/>
          <w:bCs/>
        </w:rPr>
        <w:t xml:space="preserve">Novel agentic AI design.</w:t>
      </w:r>
      <w:r>
        <w:t xml:space="preserve"> </w:t>
      </w:r>
      <w:r>
        <w:t xml:space="preserve">Agentic design for end-to-end RCT support has never been implemented at scale. CTAP will pursue incremental deployment starting with lower-risk applications, leverage CVC’s 50+ trial templates as ground truth for training and validation, and maintain close partnership with Amii for technical guidance.</w:t>
      </w:r>
    </w:p>
    <w:bookmarkEnd w:id="46"/>
    <w:bookmarkStart w:id="47" w:name="strategic-and-regulatory-risks"/>
    <w:p>
      <w:pPr>
        <w:pStyle w:val="Heading3"/>
      </w:pPr>
      <w:r>
        <w:t xml:space="preserve">Strategic and Regulatory Risks</w:t>
      </w:r>
    </w:p>
    <w:p>
      <w:pPr>
        <w:pStyle w:val="FirstParagraph"/>
      </w:pPr>
      <w:r>
        <w:rPr>
          <w:b/>
          <w:bCs/>
        </w:rPr>
        <w:t xml:space="preserve">Evolving regulatory and policy environments.</w:t>
      </w:r>
      <w:r>
        <w:t xml:space="preserve"> </w:t>
      </w:r>
      <w:r>
        <w:t xml:space="preserve">AI governance, data privacy regulations, and clinical trial requirements continue to evolve. CTAP’s modular platform design enables adaptation to new requirements, and the team will maintain active engagement with Health Canada and research ethics boards.</w:t>
      </w:r>
    </w:p>
    <w:p>
      <w:pPr>
        <w:pStyle w:val="BodyText"/>
      </w:pPr>
      <w:r>
        <w:rPr>
          <w:b/>
          <w:bCs/>
        </w:rPr>
        <w:t xml:space="preserve">Funding sustainability.</w:t>
      </w:r>
      <w:r>
        <w:t xml:space="preserve"> </w:t>
      </w:r>
      <w:r>
        <w:t xml:space="preserve">Long-term operational sustainability beyond the CFI grant period requires diversified revenue. CTAP will develop industry partnerships, fee-for-service biobanking, and pursue additional grant funding, while ensuring alignment with provincial health priorities to support institutional commitment.</w:t>
      </w:r>
    </w:p>
    <w:p>
      <w:pPr>
        <w:pStyle w:val="BodyText"/>
      </w:pPr>
      <w:r>
        <w:rPr>
          <w:b/>
          <w:bCs/>
        </w:rPr>
        <w:t xml:space="preserve">Training data access.</w:t>
      </w:r>
      <w:r>
        <w:t xml:space="preserve"> </w:t>
      </w:r>
      <w:r>
        <w:t xml:space="preserve">Ground-truth information needed for AI agent development may be protected or restricted in some cases. CTAP will address this by increasing open-source requirements for CTAP-supported trials, establishing data sharing agreements, and developing synthetic data generation capabilities where needed.</w:t>
      </w:r>
    </w:p>
    <w:bookmarkEnd w:id="47"/>
    <w:bookmarkStart w:id="48" w:name="overall-risk-assessment"/>
    <w:p>
      <w:pPr>
        <w:pStyle w:val="Heading3"/>
      </w:pPr>
      <w:r>
        <w:t xml:space="preserve">Overall Risk Assessment</w:t>
      </w:r>
    </w:p>
    <w:p>
      <w:pPr>
        <w:pStyle w:val="FirstParagraph"/>
      </w:pPr>
      <w:r>
        <w:t xml:space="preserve">The identified risks are manageable through CTAP’s phased implementation approach, strong institutional partnerships, and alignment with provincial (Forward with Purpose, ATIS) and national (PRAIRIE Hub, ACT-AEC, RareKids-CAN) strategic priorities. The platform’s modular architecture provides flexibility to adapt to emerging technologies, policy changes, and operational lessons learned.</w:t>
      </w:r>
    </w:p>
    <w:bookmarkEnd w:id="48"/>
    <w:bookmarkEnd w:id="49"/>
    <w:bookmarkStart w:id="50" w:name="estimated-timeframe"/>
    <w:p>
      <w:pPr>
        <w:pStyle w:val="Heading2"/>
      </w:pPr>
      <w:r>
        <w:t xml:space="preserve">8.8 Estimated Timeframe</w:t>
      </w:r>
    </w:p>
    <w:p>
      <w:pPr>
        <w:pStyle w:val="FirstParagraph"/>
      </w:pPr>
      <w:r>
        <w:t xml:space="preserve">Given the scale and integration requirements, we anticipate a 4-5 year timeframe from initiation of equipment purchasing to a fully operational CTAP platform. Early components (digital trial-operations platform, modest CBSR expansion, initial AWS integrations, first CRAIDL agent deployments) will be functional within the first 18-24 months.</w:t>
      </w:r>
    </w:p>
    <w:p>
      <w:pPr>
        <w:pStyle w:val="BodyText"/>
      </w:pPr>
      <w:r>
        <w:t xml:space="preserve">CRAIDL development will follow a standardized methodology across work packages: team members assigned by content expertise, identification of issues/opportunities, background knowledge and template assembly, test environment creation, and iterative design with evaluation metrics and human evaluations for quality, utility, and alignment.</w:t>
      </w:r>
    </w:p>
    <w:bookmarkEnd w:id="50"/>
    <w:bookmarkEnd w:id="51"/>
    <w:bookmarkStart w:id="52" w:name="conclusion"/>
    <w:p>
      <w:pPr>
        <w:pStyle w:val="Heading1"/>
      </w:pPr>
      <w:r>
        <w:t xml:space="preserve">Conclusion</w:t>
      </w:r>
    </w:p>
    <w:p>
      <w:pPr>
        <w:pStyle w:val="FirstParagraph"/>
      </w:pPr>
      <w:r>
        <w:t xml:space="preserve">This proposal requests $10 million to build the physical and digital backbone of a system uniquely suited to Alberta. By integrating Amii’s computational capacity, Connect Care’s clinical reach, and an automated biorepository’s precision, CTAP will establish the University of Alberta as a permanent national hub for advanced therapeutic validation—transforming clinical trials from bottlenecks into accelerators of human health.</w:t>
      </w:r>
    </w:p>
    <w:p>
      <w:pPr>
        <w:pStyle w:val="BodyText"/>
      </w:pPr>
      <w:r>
        <w:t xml:space="preserve">CTAP creates a future where clinical trials are not episodic projects but components of a continuously learning ecosystem—where data, biospecimens, and operational knowledge cycle back to accelerate discovery, and where the promise of AI-enabled medicine becomes operational reality for patients across Alberta and beyond.</w:t>
      </w:r>
    </w:p>
    <w:p>
      <w:pPr>
        <w:pStyle w:val="BodyText"/>
      </w:pPr>
      <w:r>
        <w:t xml:space="preserve">**</w:t>
      </w:r>
    </w:p>
    <w:bookmarkEnd w:id="52"/>
    <w:sectPr w:rsidR="00986D03" w:rsidRPr="00986D0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2699941" w:numId="1">
    <w:abstractNumId w:val="8"/>
  </w:num>
  <w:num w16cid:durableId="1459297366" w:numId="2">
    <w:abstractNumId w:val="6"/>
  </w:num>
  <w:num w16cid:durableId="1025207064" w:numId="3">
    <w:abstractNumId w:val="5"/>
  </w:num>
  <w:num w16cid:durableId="1957834373" w:numId="4">
    <w:abstractNumId w:val="4"/>
  </w:num>
  <w:num w16cid:durableId="1314411610" w:numId="5">
    <w:abstractNumId w:val="7"/>
  </w:num>
  <w:num w16cid:durableId="292253588" w:numId="6">
    <w:abstractNumId w:val="3"/>
  </w:num>
  <w:num w16cid:durableId="1395356236" w:numId="7">
    <w:abstractNumId w:val="2"/>
  </w:num>
  <w:num w16cid:durableId="1113942576" w:numId="8">
    <w:abstractNumId w:val="1"/>
  </w:num>
  <w:num w16cid:durableId="79914132"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6"/>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410"/>
    <w:rsid w:val="0015074B"/>
    <w:rsid w:val="0029639D"/>
    <w:rsid w:val="00326F90"/>
    <w:rsid w:val="00370C8E"/>
    <w:rsid w:val="005643A3"/>
    <w:rsid w:val="00986D03"/>
    <w:rsid w:val="00AA1D8D"/>
    <w:rsid w:val="00AA1F74"/>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Roboto" w:hAnsi="Roboto"/>
      <w:sz w:val="24"/>
    </w:rPr>
  </w:style>
  <w:style w:styleId="Heading1" w:type="paragraph">
    <w:name w:val="heading 1"/>
    <w:basedOn w:val="Normal"/>
    <w:next w:val="Normal"/>
    <w:link w:val="Heading1Char"/>
    <w:uiPriority w:val="9"/>
    <w:qFormat/>
    <w:rsid w:val="00986D03"/>
    <w:pPr>
      <w:keepNext/>
      <w:keepLines/>
      <w:spacing w:after="120" w:before="120"/>
      <w:jc w:val="center"/>
      <w:outlineLvl w:val="0"/>
    </w:pPr>
    <w:rPr>
      <w:rFonts w:cstheme="majorBidi" w:eastAsiaTheme="majorEastAsia"/>
      <w:b/>
      <w:bCs/>
      <w:color w:themeColor="text1" w:val="000000"/>
      <w:szCs w:val="28"/>
      <w:u w:val="single"/>
    </w:rPr>
  </w:style>
  <w:style w:styleId="Heading2" w:type="paragraph">
    <w:name w:val="heading 2"/>
    <w:basedOn w:val="Normal"/>
    <w:next w:val="Normal"/>
    <w:link w:val="Heading2Char"/>
    <w:uiPriority w:val="9"/>
    <w:unhideWhenUsed/>
    <w:qFormat/>
    <w:rsid w:val="00986D03"/>
    <w:pPr>
      <w:keepNext/>
      <w:keepLines/>
      <w:spacing w:after="120" w:before="120"/>
      <w:outlineLvl w:val="1"/>
    </w:pPr>
    <w:rPr>
      <w:rFonts w:cstheme="majorBidi" w:eastAsiaTheme="majorEastAsia"/>
      <w:b/>
      <w:bCs/>
      <w:color w:themeColor="text1" w:val="000000"/>
      <w:szCs w:val="26"/>
    </w:rPr>
  </w:style>
  <w:style w:styleId="Heading3" w:type="paragraph">
    <w:name w:val="heading 3"/>
    <w:basedOn w:val="Normal"/>
    <w:next w:val="Normal"/>
    <w:link w:val="Heading3Char"/>
    <w:uiPriority w:val="9"/>
    <w:unhideWhenUsed/>
    <w:qFormat/>
    <w:rsid w:val="00986D03"/>
    <w:pPr>
      <w:keepNext/>
      <w:keepLines/>
      <w:spacing w:after="120" w:before="120"/>
      <w:outlineLvl w:val="2"/>
    </w:pPr>
    <w:rPr>
      <w:rFonts w:cstheme="majorBidi" w:eastAsiaTheme="majorEastAsia"/>
      <w:bCs/>
      <w:i/>
      <w:color w:themeColor="text1" w:val="000000"/>
    </w:rPr>
  </w:style>
  <w:style w:styleId="Heading4" w:type="paragraph">
    <w:name w:val="heading 4"/>
    <w:basedOn w:val="Normal"/>
    <w:next w:val="Normal"/>
    <w:link w:val="Heading4Char"/>
    <w:uiPriority w:val="9"/>
    <w:unhideWhenUsed/>
    <w:qFormat/>
    <w:rsid w:val="00986D03"/>
    <w:pPr>
      <w:keepNext/>
      <w:keepLines/>
      <w:spacing w:after="0" w:before="200"/>
      <w:outlineLvl w:val="3"/>
    </w:pPr>
    <w:rPr>
      <w:rFonts w:cstheme="majorBidi" w:eastAsiaTheme="majorEastAsia"/>
      <w:bCs/>
      <w:iCs/>
      <w:color w:themeColor="text1" w:val="000000"/>
      <w:u w:val="single"/>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986D03"/>
    <w:rPr>
      <w:rFonts w:ascii="Roboto" w:cstheme="majorBidi" w:eastAsiaTheme="majorEastAsia" w:hAnsi="Roboto"/>
      <w:b/>
      <w:bCs/>
      <w:color w:themeColor="text1" w:val="000000"/>
      <w:sz w:val="24"/>
      <w:szCs w:val="28"/>
      <w:u w:val="single"/>
    </w:rPr>
  </w:style>
  <w:style w:customStyle="1" w:styleId="Heading2Char" w:type="character">
    <w:name w:val="Heading 2 Char"/>
    <w:basedOn w:val="DefaultParagraphFont"/>
    <w:link w:val="Heading2"/>
    <w:uiPriority w:val="9"/>
    <w:rsid w:val="00986D03"/>
    <w:rPr>
      <w:rFonts w:ascii="Roboto" w:cstheme="majorBidi" w:eastAsiaTheme="majorEastAsia" w:hAnsi="Roboto"/>
      <w:b/>
      <w:bCs/>
      <w:color w:themeColor="text1" w:val="000000"/>
      <w:sz w:val="24"/>
      <w:szCs w:val="26"/>
    </w:rPr>
  </w:style>
  <w:style w:customStyle="1" w:styleId="Heading3Char" w:type="character">
    <w:name w:val="Heading 3 Char"/>
    <w:basedOn w:val="DefaultParagraphFont"/>
    <w:link w:val="Heading3"/>
    <w:uiPriority w:val="9"/>
    <w:rsid w:val="00986D03"/>
    <w:rPr>
      <w:rFonts w:ascii="Roboto" w:cstheme="majorBidi" w:eastAsiaTheme="majorEastAsia" w:hAnsi="Roboto"/>
      <w:bCs/>
      <w:i/>
      <w:color w:themeColor="text1" w:val="000000"/>
      <w:sz w:val="24"/>
    </w:rPr>
  </w:style>
  <w:style w:styleId="Title" w:type="paragraph">
    <w:name w:val="Title"/>
    <w:basedOn w:val="Normal"/>
    <w:next w:val="Normal"/>
    <w:link w:val="TitleChar"/>
    <w:uiPriority w:val="10"/>
    <w:qFormat/>
    <w:rsid w:val="00AA1F74"/>
    <w:pPr>
      <w:pBdr>
        <w:bottom w:color="4F81BD" w:space="4" w:sz="8" w:themeColor="accent1" w:val="single"/>
      </w:pBdr>
      <w:spacing w:after="300" w:line="240" w:lineRule="auto"/>
      <w:contextualSpacing/>
      <w:jc w:val="center"/>
    </w:pPr>
    <w:rPr>
      <w:rFonts w:cstheme="majorBidi" w:eastAsiaTheme="majorEastAsia"/>
      <w:b/>
      <w:color w:themeColor="text1" w:val="000000"/>
      <w:spacing w:val="5"/>
      <w:kern w:val="28"/>
      <w:szCs w:val="52"/>
    </w:rPr>
  </w:style>
  <w:style w:customStyle="1" w:styleId="TitleChar" w:type="character">
    <w:name w:val="Title Char"/>
    <w:basedOn w:val="DefaultParagraphFont"/>
    <w:link w:val="Title"/>
    <w:uiPriority w:val="10"/>
    <w:rsid w:val="00AA1F74"/>
    <w:rPr>
      <w:rFonts w:ascii="Roboto" w:cstheme="majorBidi" w:eastAsiaTheme="majorEastAsia" w:hAnsi="Roboto"/>
      <w:b/>
      <w:color w:themeColor="text1" w:val="000000"/>
      <w:spacing w:val="5"/>
      <w:kern w:val="28"/>
      <w:sz w:val="24"/>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986D03"/>
    <w:rPr>
      <w:rFonts w:ascii="Roboto" w:cstheme="majorBidi" w:eastAsiaTheme="majorEastAsia" w:hAnsi="Roboto"/>
      <w:bCs/>
      <w:iCs/>
      <w:color w:themeColor="text1" w:val="000000"/>
      <w:sz w:val="24"/>
      <w:u w:val="single"/>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Trials Acceleration Platform (CTAP)</dc:title>
  <dc:creator/>
  <cp:keywords/>
  <dcterms:created xsi:type="dcterms:W3CDTF">2025-12-24T16:33:52Z</dcterms:created>
  <dcterms:modified xsi:type="dcterms:W3CDTF">2025-12-24T16:33:52Z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/Users/lawrencericher/writing_projects/projects/cfi_ctap/refs/references.bib</vt:lpwstr>
  </property>
  <property fmtid="{D5CDD505-2E9C-101B-9397-08002B2CF9AE}" pid="3" name="co_investigators">
    <vt:lpwstr/>
  </property>
  <property fmtid="{D5CDD505-2E9C-101B-9397-08002B2CF9AE}" pid="4" name="competition">
    <vt:lpwstr>2027</vt:lpwstr>
  </property>
  <property fmtid="{D5CDD505-2E9C-101B-9397-08002B2CF9AE}" pid="5" name="csl">
    <vt:lpwstr>/Users/lawrencericher/writing_projects/_shared/csl/vancouver.csl</vt:lpwstr>
  </property>
  <property fmtid="{D5CDD505-2E9C-101B-9397-08002B2CF9AE}" pid="6" name="date">
    <vt:lpwstr>2025-01-01</vt:lpwstr>
  </property>
  <property fmtid="{D5CDD505-2E9C-101B-9397-08002B2CF9AE}" pid="7" name="document_type">
    <vt:lpwstr>grant</vt:lpwstr>
  </property>
  <property fmtid="{D5CDD505-2E9C-101B-9397-08002B2CF9AE}" pid="8" name="funding_agency">
    <vt:lpwstr>CFI</vt:lpwstr>
  </property>
  <property fmtid="{D5CDD505-2E9C-101B-9397-08002B2CF9AE}" pid="9" name="grant_id">
    <vt:lpwstr/>
  </property>
  <property fmtid="{D5CDD505-2E9C-101B-9397-08002B2CF9AE}" pid="10" name="principal_investigator">
    <vt:lpwstr/>
  </property>
  <property fmtid="{D5CDD505-2E9C-101B-9397-08002B2CF9AE}" pid="11" name="program">
    <vt:lpwstr>Innovation Fund</vt:lpwstr>
  </property>
  <property fmtid="{D5CDD505-2E9C-101B-9397-08002B2CF9AE}" pid="12" name="shorttitle">
    <vt:lpwstr>CFI 2027</vt:lpwstr>
  </property>
  <property fmtid="{D5CDD505-2E9C-101B-9397-08002B2CF9AE}" pid="13" name="word_limits">
    <vt:lpwstr/>
  </property>
</Properties>
</file>