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pPr>
      <w:bookmarkStart w:colFirst="0" w:colLast="0" w:name="_s2w09t311o6j" w:id="0"/>
      <w:bookmarkEnd w:id="0"/>
      <w:r w:rsidDel="00000000" w:rsidR="00000000" w:rsidRPr="00000000">
        <w:rPr>
          <w:rtl w:val="0"/>
        </w:rPr>
        <w:t xml:space="preserve">Ejercicio 6</w:t>
      </w:r>
    </w:p>
    <w:p w:rsidR="00000000" w:rsidDel="00000000" w:rsidP="00000000" w:rsidRDefault="00000000" w:rsidRPr="00000000" w14:paraId="00000002">
      <w:pPr>
        <w:ind w:left="0" w:firstLine="0"/>
        <w:jc w:val="both"/>
        <w:rPr/>
      </w:pPr>
      <w:r w:rsidDel="00000000" w:rsidR="00000000" w:rsidRPr="00000000">
        <w:rPr>
          <w:rtl w:val="0"/>
        </w:rPr>
      </w:r>
    </w:p>
    <w:p w:rsidR="00000000" w:rsidDel="00000000" w:rsidP="00000000" w:rsidRDefault="00000000" w:rsidRPr="00000000" w14:paraId="00000003">
      <w:pPr>
        <w:numPr>
          <w:ilvl w:val="0"/>
          <w:numId w:val="3"/>
        </w:numPr>
        <w:ind w:left="720" w:hanging="360"/>
        <w:jc w:val="both"/>
        <w:rPr>
          <w:u w:val="none"/>
        </w:rPr>
      </w:pPr>
      <w:r w:rsidDel="00000000" w:rsidR="00000000" w:rsidRPr="00000000">
        <w:rPr>
          <w:rtl w:val="0"/>
        </w:rPr>
        <w:t xml:space="preserve">El gen </w:t>
      </w:r>
      <w:r w:rsidDel="00000000" w:rsidR="00000000" w:rsidRPr="00000000">
        <w:rPr>
          <w:b w:val="1"/>
          <w:rtl w:val="0"/>
        </w:rPr>
        <w:t xml:space="preserve">TMPRSS6 </w:t>
      </w:r>
      <w:r w:rsidDel="00000000" w:rsidR="00000000" w:rsidRPr="00000000">
        <w:rPr>
          <w:rtl w:val="0"/>
        </w:rPr>
        <w:t xml:space="preserve">(transmembrane serine protease 6) es un gen propio del organismo Homo Sapiens. </w:t>
      </w:r>
      <w:r w:rsidDel="00000000" w:rsidR="00000000" w:rsidRPr="00000000">
        <w:rPr>
          <w:rtl w:val="0"/>
        </w:rPr>
        <w:t xml:space="preserve">La proteína codificada por este gen es una proteinasa serina transmembrana tipo II que se encuentra unida a la superficie celular. </w:t>
      </w:r>
    </w:p>
    <w:p w:rsidR="00000000" w:rsidDel="00000000" w:rsidP="00000000" w:rsidRDefault="00000000" w:rsidRPr="00000000" w14:paraId="00000004">
      <w:pPr>
        <w:ind w:left="720" w:firstLine="0"/>
        <w:jc w:val="both"/>
        <w:rPr/>
      </w:pPr>
      <w:r w:rsidDel="00000000" w:rsidR="00000000" w:rsidRPr="00000000">
        <w:rPr>
          <w:rtl w:val="0"/>
        </w:rPr>
        <w:t xml:space="preserve">La proteína codificada puede estar involucrada en procesos de remodelación de matrices en el hígado. Otra responsabilidad incluye hidrolizar una gama de proteínas incluyendo colágeno tipo I, fibronectina y fibrinógeno.</w:t>
      </w:r>
    </w:p>
    <w:p w:rsidR="00000000" w:rsidDel="00000000" w:rsidP="00000000" w:rsidRDefault="00000000" w:rsidRPr="00000000" w14:paraId="00000005">
      <w:pPr>
        <w:ind w:left="720" w:firstLine="0"/>
        <w:jc w:val="both"/>
        <w:rPr/>
      </w:pPr>
      <w:r w:rsidDel="00000000" w:rsidR="00000000" w:rsidRPr="00000000">
        <w:rPr>
          <w:rtl w:val="0"/>
        </w:rPr>
        <w:t xml:space="preserve">La mutación de este gen produce la enfermedad conocida como anemia por deficiencia de hierro refractaria (</w:t>
      </w:r>
      <w:r w:rsidDel="00000000" w:rsidR="00000000" w:rsidRPr="00000000">
        <w:rPr>
          <w:b w:val="1"/>
          <w:rtl w:val="0"/>
        </w:rPr>
        <w:t xml:space="preserve">IRIDA</w:t>
      </w:r>
      <w:r w:rsidDel="00000000" w:rsidR="00000000" w:rsidRPr="00000000">
        <w:rPr>
          <w:rtl w:val="0"/>
        </w:rPr>
        <w:t xml:space="preserve">). Esto se debe a que la proteína juega un papel esencial en la inhibición de la </w:t>
      </w:r>
      <w:r w:rsidDel="00000000" w:rsidR="00000000" w:rsidRPr="00000000">
        <w:rPr>
          <w:b w:val="1"/>
          <w:rtl w:val="0"/>
        </w:rPr>
        <w:t xml:space="preserve">hepcidina</w:t>
      </w:r>
      <w:r w:rsidDel="00000000" w:rsidR="00000000" w:rsidRPr="00000000">
        <w:rPr>
          <w:rtl w:val="0"/>
        </w:rPr>
        <w:t xml:space="preserve">, una hormona peptídica producida por el hígado, que parece ser el regulador central del metabolismo del hierro en humanos. La hepcidina interactúa directamente con la ferroportina, una proteína que transporta el hierro hacia las células que lo almacenan (Eritrocitos). Al mutar este gen se generan niveles muy altos de hepcidina.</w:t>
      </w:r>
    </w:p>
    <w:p w:rsidR="00000000" w:rsidDel="00000000" w:rsidP="00000000" w:rsidRDefault="00000000" w:rsidRPr="00000000" w14:paraId="00000006">
      <w:pPr>
        <w:ind w:left="720" w:firstLine="0"/>
        <w:jc w:val="both"/>
        <w:rPr/>
      </w:pPr>
      <w:r w:rsidDel="00000000" w:rsidR="00000000" w:rsidRPr="00000000">
        <w:rPr>
          <w:b w:val="1"/>
          <w:rtl w:val="0"/>
        </w:rPr>
        <w:t xml:space="preserve">IRIDA </w:t>
      </w:r>
      <w:r w:rsidDel="00000000" w:rsidR="00000000" w:rsidRPr="00000000">
        <w:rPr>
          <w:rtl w:val="0"/>
        </w:rPr>
        <w:t xml:space="preserve">es un trastorno del metabolismo del hierro autosómico recesivo poco frecuente, que a menudo no responde a la toma oral de hierro y con respuesta parcial al tratamiento parenteral de hierro.</w:t>
      </w:r>
    </w:p>
    <w:p w:rsidR="00000000" w:rsidDel="00000000" w:rsidP="00000000" w:rsidRDefault="00000000" w:rsidRPr="00000000" w14:paraId="00000007">
      <w:pPr>
        <w:ind w:left="720" w:firstLine="0"/>
        <w:jc w:val="both"/>
        <w:rPr/>
      </w:pPr>
      <w:r w:rsidDel="00000000" w:rsidR="00000000" w:rsidRPr="00000000">
        <w:rPr>
          <w:rtl w:val="0"/>
        </w:rPr>
        <w:t xml:space="preserve">Sus síntomas son un volumen corpuscular medio </w:t>
      </w:r>
      <w:r w:rsidDel="00000000" w:rsidR="00000000" w:rsidRPr="00000000">
        <w:rPr>
          <w:rtl w:val="0"/>
        </w:rPr>
        <w:t xml:space="preserve">eritrocítico</w:t>
      </w:r>
      <w:r w:rsidDel="00000000" w:rsidR="00000000" w:rsidRPr="00000000">
        <w:rPr>
          <w:rtl w:val="0"/>
        </w:rPr>
        <w:t xml:space="preserve"> muy bajo, una baja saturación del índice de transferrina, una utilización anormal caracterizada por una ausencia de mejora tras un tratamiento oral con hierro y una respuesta incompleta al hierro parenteral</w:t>
      </w:r>
    </w:p>
    <w:p w:rsidR="00000000" w:rsidDel="00000000" w:rsidP="00000000" w:rsidRDefault="00000000" w:rsidRPr="00000000" w14:paraId="00000008">
      <w:pPr>
        <w:ind w:left="720" w:firstLine="0"/>
        <w:jc w:val="both"/>
        <w:rPr/>
      </w:pPr>
      <w:r w:rsidDel="00000000" w:rsidR="00000000" w:rsidRPr="00000000">
        <w:rPr>
          <w:rtl w:val="0"/>
        </w:rPr>
        <w:t xml:space="preserve">Elegimos este gen ya que su mutación genera una enfermedad poco común que no se trata de la misma manera que cualquier otra anemia. Esto hizo que quisieramos saber más sobre su funcionamiento y el porqué de lo mencionado.</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9">
      <w:pPr>
        <w:ind w:left="720" w:firstLine="0"/>
        <w:jc w:val="both"/>
        <w:rPr/>
      </w:pPr>
      <w:r w:rsidDel="00000000" w:rsidR="00000000" w:rsidRPr="00000000">
        <w:rPr>
          <w:rtl w:val="0"/>
        </w:rPr>
      </w:r>
    </w:p>
    <w:p w:rsidR="00000000" w:rsidDel="00000000" w:rsidP="00000000" w:rsidRDefault="00000000" w:rsidRPr="00000000" w14:paraId="0000000A">
      <w:pPr>
        <w:numPr>
          <w:ilvl w:val="0"/>
          <w:numId w:val="3"/>
        </w:numPr>
        <w:ind w:left="720" w:hanging="360"/>
        <w:jc w:val="both"/>
        <w:rPr>
          <w:u w:val="none"/>
        </w:rPr>
      </w:pPr>
      <w:r w:rsidDel="00000000" w:rsidR="00000000" w:rsidRPr="00000000">
        <w:rPr>
          <w:rtl w:val="0"/>
        </w:rPr>
        <w:t xml:space="preserve">Resultados en </w:t>
      </w:r>
      <w:r w:rsidDel="00000000" w:rsidR="00000000" w:rsidRPr="00000000">
        <w:rPr>
          <w:b w:val="1"/>
          <w:rtl w:val="0"/>
        </w:rPr>
        <w:t xml:space="preserve">HomoloGene</w:t>
      </w:r>
      <w:r w:rsidDel="00000000" w:rsidR="00000000" w:rsidRPr="00000000">
        <w:rPr>
          <w:rtl w:val="0"/>
        </w:rPr>
        <w:t xml:space="preserve">: se detallan 325 genes homólogos y a continuación se listan a qué grupo taxonómico pertenecen.</w:t>
      </w:r>
    </w:p>
    <w:p w:rsidR="00000000" w:rsidDel="00000000" w:rsidP="00000000" w:rsidRDefault="00000000" w:rsidRPr="00000000" w14:paraId="0000000B">
      <w:pPr>
        <w:ind w:left="720" w:firstLine="0"/>
        <w:jc w:val="center"/>
        <w:rPr/>
      </w:pPr>
      <w:r w:rsidDel="00000000" w:rsidR="00000000" w:rsidRPr="00000000">
        <w:rPr/>
        <w:drawing>
          <wp:inline distB="114300" distT="114300" distL="114300" distR="114300">
            <wp:extent cx="1179705" cy="327183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7970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5734050" cy="29337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jc w:val="both"/>
        <w:rPr/>
      </w:pPr>
      <w:r w:rsidDel="00000000" w:rsidR="00000000" w:rsidRPr="00000000">
        <w:rPr>
          <w:rtl w:val="0"/>
        </w:rPr>
        <w:t xml:space="preserve">Resultados en </w:t>
      </w:r>
      <w:r w:rsidDel="00000000" w:rsidR="00000000" w:rsidRPr="00000000">
        <w:rPr>
          <w:b w:val="1"/>
          <w:rtl w:val="0"/>
        </w:rPr>
        <w:t xml:space="preserve">Ensembl</w:t>
      </w:r>
      <w:r w:rsidDel="00000000" w:rsidR="00000000" w:rsidRPr="00000000">
        <w:rPr>
          <w:rtl w:val="0"/>
        </w:rPr>
        <w:t xml:space="preserve">:  </w:t>
      </w:r>
    </w:p>
    <w:p w:rsidR="00000000" w:rsidDel="00000000" w:rsidP="00000000" w:rsidRDefault="00000000" w:rsidRPr="00000000" w14:paraId="0000000F">
      <w:pPr>
        <w:ind w:left="0" w:firstLine="0"/>
        <w:jc w:val="both"/>
        <w:rPr/>
      </w:pPr>
      <w:r w:rsidDel="00000000" w:rsidR="00000000" w:rsidRPr="00000000">
        <w:rPr/>
        <w:drawing>
          <wp:inline distB="114300" distT="114300" distL="114300" distR="114300">
            <wp:extent cx="6352770" cy="3471863"/>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52770"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jc w:val="both"/>
        <w:rPr>
          <w:color w:val="333333"/>
          <w:highlight w:val="white"/>
        </w:rPr>
      </w:pPr>
      <w:r w:rsidDel="00000000" w:rsidR="00000000" w:rsidRPr="00000000">
        <w:rPr>
          <w:rtl w:val="0"/>
        </w:rPr>
      </w:r>
    </w:p>
    <w:p w:rsidR="00000000" w:rsidDel="00000000" w:rsidP="00000000" w:rsidRDefault="00000000" w:rsidRPr="00000000" w14:paraId="00000011">
      <w:pPr>
        <w:ind w:left="0" w:firstLine="0"/>
        <w:jc w:val="both"/>
        <w:rPr>
          <w:color w:val="333333"/>
          <w:highlight w:val="white"/>
        </w:rPr>
      </w:pPr>
      <w:r w:rsidDel="00000000" w:rsidR="00000000" w:rsidRPr="00000000">
        <w:rPr>
          <w:color w:val="333333"/>
          <w:highlight w:val="white"/>
          <w:rtl w:val="0"/>
        </w:rPr>
        <w:t xml:space="preserve">Aquí se encontró una menor cantidad de genes homólogos, probablemente esta diferencia se deba a que existe una menor cantidad de especies registradas en esta base de datos.</w:t>
      </w:r>
    </w:p>
    <w:p w:rsidR="00000000" w:rsidDel="00000000" w:rsidP="00000000" w:rsidRDefault="00000000" w:rsidRPr="00000000" w14:paraId="00000012">
      <w:pPr>
        <w:ind w:left="0" w:firstLine="0"/>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13">
      <w:pPr>
        <w:numPr>
          <w:ilvl w:val="0"/>
          <w:numId w:val="3"/>
        </w:numPr>
        <w:ind w:left="720" w:hanging="360"/>
        <w:jc w:val="both"/>
        <w:rPr>
          <w:rFonts w:ascii="Roboto" w:cs="Roboto" w:eastAsia="Roboto" w:hAnsi="Roboto"/>
          <w:color w:val="333333"/>
          <w:highlight w:val="white"/>
          <w:u w:val="none"/>
        </w:rPr>
      </w:pPr>
      <w:r w:rsidDel="00000000" w:rsidR="00000000" w:rsidRPr="00000000">
        <w:rPr>
          <w:rFonts w:ascii="Roboto" w:cs="Roboto" w:eastAsia="Roboto" w:hAnsi="Roboto"/>
          <w:color w:val="333333"/>
          <w:highlight w:val="white"/>
          <w:rtl w:val="0"/>
        </w:rPr>
        <w:t xml:space="preserve">En </w:t>
      </w:r>
      <w:r w:rsidDel="00000000" w:rsidR="00000000" w:rsidRPr="00000000">
        <w:rPr>
          <w:rFonts w:ascii="Roboto" w:cs="Roboto" w:eastAsia="Roboto" w:hAnsi="Roboto"/>
          <w:b w:val="1"/>
          <w:color w:val="333333"/>
          <w:highlight w:val="white"/>
          <w:rtl w:val="0"/>
        </w:rPr>
        <w:t xml:space="preserve">Homologene </w:t>
      </w:r>
      <w:r w:rsidDel="00000000" w:rsidR="00000000" w:rsidRPr="00000000">
        <w:rPr>
          <w:rFonts w:ascii="Roboto" w:cs="Roboto" w:eastAsia="Roboto" w:hAnsi="Roboto"/>
          <w:color w:val="333333"/>
          <w:highlight w:val="white"/>
          <w:rtl w:val="0"/>
        </w:rPr>
        <w:t xml:space="preserve">se encuentran</w:t>
      </w:r>
      <w:r w:rsidDel="00000000" w:rsidR="00000000" w:rsidRPr="00000000">
        <w:rPr>
          <w:rFonts w:ascii="Roboto" w:cs="Roboto" w:eastAsia="Roboto" w:hAnsi="Roboto"/>
          <w:color w:val="333333"/>
          <w:highlight w:val="white"/>
          <w:rtl w:val="0"/>
        </w:rPr>
        <w:t xml:space="preserve"> nueve transcritos, los cuales se encuentran en la siguiente imágen. </w:t>
      </w:r>
    </w:p>
    <w:p w:rsidR="00000000" w:rsidDel="00000000" w:rsidP="00000000" w:rsidRDefault="00000000" w:rsidRPr="00000000" w14:paraId="00000014">
      <w:pPr>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Pr>
        <w:drawing>
          <wp:inline distB="114300" distT="114300" distL="114300" distR="114300">
            <wp:extent cx="5734050" cy="14097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16">
      <w:pPr>
        <w:ind w:left="0" w:firstLine="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En Ensembl, se encontraron </w:t>
      </w:r>
      <w:r w:rsidDel="00000000" w:rsidR="00000000" w:rsidRPr="00000000">
        <w:rPr>
          <w:rFonts w:ascii="Roboto" w:cs="Roboto" w:eastAsia="Roboto" w:hAnsi="Roboto"/>
          <w:b w:val="1"/>
          <w:color w:val="333333"/>
          <w:highlight w:val="white"/>
          <w:rtl w:val="0"/>
        </w:rPr>
        <w:t xml:space="preserve">siete</w:t>
      </w:r>
      <w:r w:rsidDel="00000000" w:rsidR="00000000" w:rsidRPr="00000000">
        <w:rPr>
          <w:rFonts w:ascii="Roboto" w:cs="Roboto" w:eastAsia="Roboto" w:hAnsi="Roboto"/>
          <w:color w:val="333333"/>
          <w:highlight w:val="white"/>
          <w:rtl w:val="0"/>
        </w:rPr>
        <w:t xml:space="preserve"> transcriptos, de los cuales cada uno contiene la siguiente cantidad de variantes de splicing</w:t>
      </w:r>
      <w:r w:rsidDel="00000000" w:rsidR="00000000" w:rsidRPr="00000000">
        <w:rPr>
          <w:rFonts w:ascii="Roboto" w:cs="Roboto" w:eastAsia="Roboto" w:hAnsi="Roboto"/>
          <w:color w:val="333333"/>
          <w:highlight w:val="white"/>
          <w:vertAlign w:val="superscript"/>
        </w:rPr>
        <w:footnoteReference w:customMarkFollows="0" w:id="1"/>
      </w:r>
      <w:r w:rsidDel="00000000" w:rsidR="00000000" w:rsidRPr="00000000">
        <w:rPr>
          <w:rFonts w:ascii="Roboto" w:cs="Roboto" w:eastAsia="Roboto" w:hAnsi="Roboto"/>
          <w:color w:val="333333"/>
          <w:highlight w:val="white"/>
          <w:rtl w:val="0"/>
        </w:rPr>
        <w:t xml:space="preserve">:</w:t>
      </w:r>
    </w:p>
    <w:p w:rsidR="00000000" w:rsidDel="00000000" w:rsidP="00000000" w:rsidRDefault="00000000" w:rsidRPr="00000000" w14:paraId="00000017">
      <w:pPr>
        <w:numPr>
          <w:ilvl w:val="0"/>
          <w:numId w:val="2"/>
        </w:numPr>
        <w:ind w:left="720" w:hanging="360"/>
        <w:jc w:val="both"/>
        <w:rPr>
          <w:rFonts w:ascii="Roboto" w:cs="Roboto" w:eastAsia="Roboto" w:hAnsi="Roboto"/>
          <w:color w:val="333333"/>
          <w:highlight w:val="white"/>
          <w:u w:val="none"/>
        </w:rPr>
      </w:pPr>
      <w:r w:rsidDel="00000000" w:rsidR="00000000" w:rsidRPr="00000000">
        <w:rPr>
          <w:rFonts w:ascii="Roboto" w:cs="Roboto" w:eastAsia="Roboto" w:hAnsi="Roboto"/>
          <w:b w:val="1"/>
          <w:color w:val="333333"/>
          <w:highlight w:val="white"/>
          <w:rtl w:val="0"/>
        </w:rPr>
        <w:t xml:space="preserve">Transcrito 1:</w:t>
      </w:r>
      <w:r w:rsidDel="00000000" w:rsidR="00000000" w:rsidRPr="00000000">
        <w:rPr>
          <w:rFonts w:ascii="Roboto" w:cs="Roboto" w:eastAsia="Roboto" w:hAnsi="Roboto"/>
          <w:color w:val="333333"/>
          <w:highlight w:val="white"/>
          <w:rtl w:val="0"/>
        </w:rPr>
        <w:t xml:space="preserve"> 19 variantes de splicing</w:t>
      </w:r>
    </w:p>
    <w:p w:rsidR="00000000" w:rsidDel="00000000" w:rsidP="00000000" w:rsidRDefault="00000000" w:rsidRPr="00000000" w14:paraId="00000018">
      <w:pPr>
        <w:numPr>
          <w:ilvl w:val="0"/>
          <w:numId w:val="2"/>
        </w:numPr>
        <w:ind w:left="720" w:hanging="360"/>
        <w:jc w:val="both"/>
        <w:rPr>
          <w:rFonts w:ascii="Roboto" w:cs="Roboto" w:eastAsia="Roboto" w:hAnsi="Roboto"/>
          <w:color w:val="333333"/>
          <w:highlight w:val="white"/>
          <w:u w:val="none"/>
        </w:rPr>
      </w:pPr>
      <w:r w:rsidDel="00000000" w:rsidR="00000000" w:rsidRPr="00000000">
        <w:rPr>
          <w:rFonts w:ascii="Roboto" w:cs="Roboto" w:eastAsia="Roboto" w:hAnsi="Roboto"/>
          <w:b w:val="1"/>
          <w:color w:val="333333"/>
          <w:highlight w:val="white"/>
          <w:rtl w:val="0"/>
        </w:rPr>
        <w:t xml:space="preserve">Transcrito 2: </w:t>
      </w:r>
      <w:r w:rsidDel="00000000" w:rsidR="00000000" w:rsidRPr="00000000">
        <w:rPr>
          <w:rFonts w:ascii="Roboto" w:cs="Roboto" w:eastAsia="Roboto" w:hAnsi="Roboto"/>
          <w:color w:val="333333"/>
          <w:highlight w:val="white"/>
          <w:rtl w:val="0"/>
        </w:rPr>
        <w:t xml:space="preserve">18 variantes de splicing</w:t>
      </w:r>
    </w:p>
    <w:p w:rsidR="00000000" w:rsidDel="00000000" w:rsidP="00000000" w:rsidRDefault="00000000" w:rsidRPr="00000000" w14:paraId="00000019">
      <w:pPr>
        <w:numPr>
          <w:ilvl w:val="0"/>
          <w:numId w:val="2"/>
        </w:numPr>
        <w:ind w:left="720" w:hanging="360"/>
        <w:jc w:val="both"/>
        <w:rPr>
          <w:rFonts w:ascii="Roboto" w:cs="Roboto" w:eastAsia="Roboto" w:hAnsi="Roboto"/>
          <w:color w:val="333333"/>
          <w:highlight w:val="white"/>
          <w:u w:val="none"/>
        </w:rPr>
      </w:pPr>
      <w:r w:rsidDel="00000000" w:rsidR="00000000" w:rsidRPr="00000000">
        <w:rPr>
          <w:rFonts w:ascii="Roboto" w:cs="Roboto" w:eastAsia="Roboto" w:hAnsi="Roboto"/>
          <w:b w:val="1"/>
          <w:color w:val="333333"/>
          <w:highlight w:val="white"/>
          <w:rtl w:val="0"/>
        </w:rPr>
        <w:t xml:space="preserve">Transcrito 3: </w:t>
      </w:r>
      <w:r w:rsidDel="00000000" w:rsidR="00000000" w:rsidRPr="00000000">
        <w:rPr>
          <w:rFonts w:ascii="Roboto" w:cs="Roboto" w:eastAsia="Roboto" w:hAnsi="Roboto"/>
          <w:color w:val="333333"/>
          <w:highlight w:val="white"/>
          <w:rtl w:val="0"/>
        </w:rPr>
        <w:t xml:space="preserve">19 variantes de splicing</w:t>
      </w:r>
    </w:p>
    <w:p w:rsidR="00000000" w:rsidDel="00000000" w:rsidP="00000000" w:rsidRDefault="00000000" w:rsidRPr="00000000" w14:paraId="0000001A">
      <w:pPr>
        <w:numPr>
          <w:ilvl w:val="0"/>
          <w:numId w:val="2"/>
        </w:numPr>
        <w:ind w:left="720" w:hanging="360"/>
        <w:jc w:val="both"/>
        <w:rPr>
          <w:rFonts w:ascii="Roboto" w:cs="Roboto" w:eastAsia="Roboto" w:hAnsi="Roboto"/>
          <w:color w:val="333333"/>
          <w:highlight w:val="white"/>
          <w:u w:val="none"/>
        </w:rPr>
      </w:pPr>
      <w:r w:rsidDel="00000000" w:rsidR="00000000" w:rsidRPr="00000000">
        <w:rPr>
          <w:rFonts w:ascii="Roboto" w:cs="Roboto" w:eastAsia="Roboto" w:hAnsi="Roboto"/>
          <w:b w:val="1"/>
          <w:color w:val="333333"/>
          <w:highlight w:val="white"/>
          <w:rtl w:val="0"/>
        </w:rPr>
        <w:t xml:space="preserve">Transcrito 4: </w:t>
      </w:r>
      <w:r w:rsidDel="00000000" w:rsidR="00000000" w:rsidRPr="00000000">
        <w:rPr>
          <w:rFonts w:ascii="Roboto" w:cs="Roboto" w:eastAsia="Roboto" w:hAnsi="Roboto"/>
          <w:color w:val="333333"/>
          <w:highlight w:val="white"/>
          <w:rtl w:val="0"/>
        </w:rPr>
        <w:t xml:space="preserve">18 variantes de splicing</w:t>
      </w:r>
    </w:p>
    <w:p w:rsidR="00000000" w:rsidDel="00000000" w:rsidP="00000000" w:rsidRDefault="00000000" w:rsidRPr="00000000" w14:paraId="0000001B">
      <w:pPr>
        <w:numPr>
          <w:ilvl w:val="0"/>
          <w:numId w:val="2"/>
        </w:numPr>
        <w:ind w:left="720" w:hanging="360"/>
        <w:jc w:val="both"/>
        <w:rPr>
          <w:rFonts w:ascii="Roboto" w:cs="Roboto" w:eastAsia="Roboto" w:hAnsi="Roboto"/>
          <w:color w:val="333333"/>
          <w:highlight w:val="white"/>
          <w:u w:val="none"/>
        </w:rPr>
      </w:pPr>
      <w:r w:rsidDel="00000000" w:rsidR="00000000" w:rsidRPr="00000000">
        <w:rPr>
          <w:rFonts w:ascii="Roboto" w:cs="Roboto" w:eastAsia="Roboto" w:hAnsi="Roboto"/>
          <w:b w:val="1"/>
          <w:color w:val="333333"/>
          <w:highlight w:val="white"/>
          <w:rtl w:val="0"/>
        </w:rPr>
        <w:t xml:space="preserve">Transcrito 5: </w:t>
      </w:r>
      <w:r w:rsidDel="00000000" w:rsidR="00000000" w:rsidRPr="00000000">
        <w:rPr>
          <w:rFonts w:ascii="Roboto" w:cs="Roboto" w:eastAsia="Roboto" w:hAnsi="Roboto"/>
          <w:color w:val="333333"/>
          <w:highlight w:val="white"/>
          <w:rtl w:val="0"/>
        </w:rPr>
        <w:t xml:space="preserve">3 variantes de splicing</w:t>
      </w:r>
    </w:p>
    <w:p w:rsidR="00000000" w:rsidDel="00000000" w:rsidP="00000000" w:rsidRDefault="00000000" w:rsidRPr="00000000" w14:paraId="0000001C">
      <w:pPr>
        <w:numPr>
          <w:ilvl w:val="0"/>
          <w:numId w:val="2"/>
        </w:numPr>
        <w:ind w:left="720" w:hanging="360"/>
        <w:jc w:val="both"/>
        <w:rPr>
          <w:rFonts w:ascii="Roboto" w:cs="Roboto" w:eastAsia="Roboto" w:hAnsi="Roboto"/>
          <w:color w:val="333333"/>
          <w:highlight w:val="white"/>
          <w:u w:val="none"/>
        </w:rPr>
      </w:pPr>
      <w:r w:rsidDel="00000000" w:rsidR="00000000" w:rsidRPr="00000000">
        <w:rPr>
          <w:rFonts w:ascii="Roboto" w:cs="Roboto" w:eastAsia="Roboto" w:hAnsi="Roboto"/>
          <w:b w:val="1"/>
          <w:color w:val="333333"/>
          <w:highlight w:val="white"/>
          <w:rtl w:val="0"/>
        </w:rPr>
        <w:t xml:space="preserve">Transcrito 6: </w:t>
      </w:r>
      <w:r w:rsidDel="00000000" w:rsidR="00000000" w:rsidRPr="00000000">
        <w:rPr>
          <w:rFonts w:ascii="Roboto" w:cs="Roboto" w:eastAsia="Roboto" w:hAnsi="Roboto"/>
          <w:color w:val="333333"/>
          <w:highlight w:val="white"/>
          <w:rtl w:val="0"/>
        </w:rPr>
        <w:t xml:space="preserve">2 variantes de splicing</w:t>
      </w:r>
    </w:p>
    <w:p w:rsidR="00000000" w:rsidDel="00000000" w:rsidP="00000000" w:rsidRDefault="00000000" w:rsidRPr="00000000" w14:paraId="0000001D">
      <w:pPr>
        <w:numPr>
          <w:ilvl w:val="0"/>
          <w:numId w:val="2"/>
        </w:numPr>
        <w:ind w:left="720" w:hanging="360"/>
        <w:jc w:val="both"/>
        <w:rPr>
          <w:rFonts w:ascii="Roboto" w:cs="Roboto" w:eastAsia="Roboto" w:hAnsi="Roboto"/>
          <w:color w:val="333333"/>
          <w:highlight w:val="white"/>
          <w:u w:val="none"/>
        </w:rPr>
      </w:pPr>
      <w:r w:rsidDel="00000000" w:rsidR="00000000" w:rsidRPr="00000000">
        <w:rPr>
          <w:rFonts w:ascii="Roboto" w:cs="Roboto" w:eastAsia="Roboto" w:hAnsi="Roboto"/>
          <w:b w:val="1"/>
          <w:color w:val="333333"/>
          <w:highlight w:val="white"/>
          <w:rtl w:val="0"/>
        </w:rPr>
        <w:t xml:space="preserve">Transcrito 7:</w:t>
      </w:r>
      <w:r w:rsidDel="00000000" w:rsidR="00000000" w:rsidRPr="00000000">
        <w:rPr>
          <w:rFonts w:ascii="Roboto" w:cs="Roboto" w:eastAsia="Roboto" w:hAnsi="Roboto"/>
          <w:color w:val="333333"/>
          <w:highlight w:val="white"/>
          <w:rtl w:val="0"/>
        </w:rPr>
        <w:t xml:space="preserve"> 5 variantes de splicing</w:t>
      </w:r>
    </w:p>
    <w:p w:rsidR="00000000" w:rsidDel="00000000" w:rsidP="00000000" w:rsidRDefault="00000000" w:rsidRPr="00000000" w14:paraId="0000001E">
      <w:pPr>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Pr>
        <w:drawing>
          <wp:inline distB="114300" distT="114300" distL="114300" distR="114300">
            <wp:extent cx="5734050" cy="9358313"/>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93583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jc w:val="both"/>
        <w:rPr>
          <w:color w:val="333333"/>
          <w:highlight w:val="white"/>
        </w:rPr>
      </w:pPr>
      <w:r w:rsidDel="00000000" w:rsidR="00000000" w:rsidRPr="00000000">
        <w:rPr>
          <w:rFonts w:ascii="Roboto" w:cs="Roboto" w:eastAsia="Roboto" w:hAnsi="Roboto"/>
          <w:color w:val="333333"/>
          <w:highlight w:val="white"/>
          <w:rtl w:val="0"/>
        </w:rPr>
        <w:t xml:space="preserve">Entre a</w:t>
      </w:r>
      <w:r w:rsidDel="00000000" w:rsidR="00000000" w:rsidRPr="00000000">
        <w:rPr>
          <w:color w:val="333333"/>
          <w:highlight w:val="white"/>
          <w:rtl w:val="0"/>
        </w:rPr>
        <w:t xml:space="preserve">mbas bases de datos, </w:t>
      </w:r>
      <w:r w:rsidDel="00000000" w:rsidR="00000000" w:rsidRPr="00000000">
        <w:rPr>
          <w:b w:val="1"/>
          <w:color w:val="333333"/>
          <w:highlight w:val="white"/>
          <w:rtl w:val="0"/>
        </w:rPr>
        <w:t xml:space="preserve">Ensambl</w:t>
      </w:r>
      <w:r w:rsidDel="00000000" w:rsidR="00000000" w:rsidRPr="00000000">
        <w:rPr>
          <w:color w:val="333333"/>
          <w:highlight w:val="white"/>
          <w:rtl w:val="0"/>
        </w:rPr>
        <w:t xml:space="preserve"> </w:t>
      </w:r>
      <w:r w:rsidDel="00000000" w:rsidR="00000000" w:rsidRPr="00000000">
        <w:rPr>
          <w:color w:val="333333"/>
          <w:highlight w:val="white"/>
          <w:rtl w:val="0"/>
        </w:rPr>
        <w:t xml:space="preserve">se presenta como más precisa en este aspecto, ya que la gran mayoría de las otras bases de datos la utiliza como fuente de referencia. Presenta un mayor detalle y mejor explicado que </w:t>
      </w:r>
      <w:r w:rsidDel="00000000" w:rsidR="00000000" w:rsidRPr="00000000">
        <w:rPr>
          <w:b w:val="1"/>
          <w:color w:val="333333"/>
          <w:highlight w:val="white"/>
          <w:rtl w:val="0"/>
        </w:rPr>
        <w:t xml:space="preserve">Homologene</w:t>
      </w:r>
      <w:r w:rsidDel="00000000" w:rsidR="00000000" w:rsidRPr="00000000">
        <w:rPr>
          <w:color w:val="333333"/>
          <w:highlight w:val="white"/>
          <w:rtl w:val="0"/>
        </w:rPr>
        <w:t xml:space="preserve">. </w:t>
      </w:r>
    </w:p>
    <w:p w:rsidR="00000000" w:rsidDel="00000000" w:rsidP="00000000" w:rsidRDefault="00000000" w:rsidRPr="00000000" w14:paraId="00000020">
      <w:pPr>
        <w:jc w:val="both"/>
        <w:rPr>
          <w:color w:val="333333"/>
          <w:highlight w:val="white"/>
        </w:rPr>
      </w:pPr>
      <w:r w:rsidDel="00000000" w:rsidR="00000000" w:rsidRPr="00000000">
        <w:rPr>
          <w:rtl w:val="0"/>
        </w:rPr>
      </w:r>
    </w:p>
    <w:p w:rsidR="00000000" w:rsidDel="00000000" w:rsidP="00000000" w:rsidRDefault="00000000" w:rsidRPr="00000000" w14:paraId="00000021">
      <w:pPr>
        <w:numPr>
          <w:ilvl w:val="0"/>
          <w:numId w:val="3"/>
        </w:numPr>
        <w:ind w:left="720" w:hanging="360"/>
        <w:jc w:val="both"/>
        <w:rPr>
          <w:rFonts w:ascii="Roboto" w:cs="Roboto" w:eastAsia="Roboto" w:hAnsi="Roboto"/>
          <w:color w:val="333333"/>
          <w:highlight w:val="white"/>
        </w:rPr>
      </w:pPr>
      <w:r w:rsidDel="00000000" w:rsidR="00000000" w:rsidRPr="00000000">
        <w:rPr>
          <w:color w:val="333333"/>
          <w:highlight w:val="white"/>
          <w:rtl w:val="0"/>
        </w:rPr>
        <w:t xml:space="preserve">En ambas bases de d</w:t>
      </w:r>
      <w:r w:rsidDel="00000000" w:rsidR="00000000" w:rsidRPr="00000000">
        <w:rPr>
          <w:color w:val="333333"/>
          <w:highlight w:val="white"/>
          <w:rtl w:val="0"/>
        </w:rPr>
        <w:t xml:space="preserve">atos encontramos que el gen interactúa con un único producto génico, este es</w:t>
      </w:r>
      <w:r w:rsidDel="00000000" w:rsidR="00000000" w:rsidRPr="00000000">
        <w:rPr>
          <w:rtl w:val="0"/>
        </w:rPr>
        <w:t xml:space="preserve"> </w:t>
      </w:r>
      <w:r w:rsidDel="00000000" w:rsidR="00000000" w:rsidRPr="00000000">
        <w:rPr>
          <w:b w:val="1"/>
          <w:rtl w:val="0"/>
        </w:rPr>
        <w:t xml:space="preserve">HNRNPL</w:t>
      </w:r>
      <w:r w:rsidDel="00000000" w:rsidR="00000000" w:rsidRPr="00000000">
        <w:rPr>
          <w:color w:val="333333"/>
          <w:highlight w:val="white"/>
          <w:rtl w:val="0"/>
        </w:rPr>
        <w:t xml:space="preserve"> (heterogeneous nuclear ribonucleoprotein L)</w:t>
      </w:r>
      <w:r w:rsidDel="00000000" w:rsidR="00000000" w:rsidRPr="00000000">
        <w:rPr>
          <w:color w:val="333333"/>
          <w:highlight w:val="white"/>
          <w:vertAlign w:val="superscript"/>
        </w:rPr>
        <w:footnoteReference w:customMarkFollows="0" w:id="2"/>
      </w:r>
      <w:r w:rsidDel="00000000" w:rsidR="00000000" w:rsidRPr="00000000">
        <w:rPr>
          <w:rtl w:val="0"/>
        </w:rPr>
      </w:r>
    </w:p>
    <w:p w:rsidR="00000000" w:rsidDel="00000000" w:rsidP="00000000" w:rsidRDefault="00000000" w:rsidRPr="00000000" w14:paraId="00000022">
      <w:pPr>
        <w:ind w:left="0" w:firstLine="0"/>
        <w:jc w:val="both"/>
        <w:rPr>
          <w:color w:val="333333"/>
          <w:highlight w:val="white"/>
        </w:rPr>
      </w:pPr>
      <w:r w:rsidDel="00000000" w:rsidR="00000000" w:rsidRPr="00000000">
        <w:rPr>
          <w:rtl w:val="0"/>
        </w:rPr>
      </w:r>
    </w:p>
    <w:p w:rsidR="00000000" w:rsidDel="00000000" w:rsidP="00000000" w:rsidRDefault="00000000" w:rsidRPr="00000000" w14:paraId="00000023">
      <w:pPr>
        <w:numPr>
          <w:ilvl w:val="0"/>
          <w:numId w:val="3"/>
        </w:numPr>
        <w:ind w:left="720" w:hanging="360"/>
        <w:jc w:val="both"/>
        <w:rPr>
          <w:color w:val="333333"/>
          <w:highlight w:val="white"/>
          <w:u w:val="none"/>
        </w:rPr>
      </w:pPr>
      <w:r w:rsidDel="00000000" w:rsidR="00000000" w:rsidRPr="00000000">
        <w:rPr>
          <w:color w:val="333333"/>
          <w:highlight w:val="white"/>
          <w:rtl w:val="0"/>
        </w:rPr>
        <w:t xml:space="preserve">Forma parte de la membrana plasmática de las células. Está presente particularmente en el hígado y el proceso que lleva a cabo este gen es el de regular la producción de hepcidina. La hepcidina es una proteína generada por el hígado y juega un rol importante en la regulación de hierro en la sangre. El hecho de llevar a cabo esta regulación permite que la hepcidina no lleve a deficiencias o excesos en hierro en el cuerpo, dado que la misma se encarga de regularlo de manera negativa.</w:t>
      </w:r>
    </w:p>
    <w:p w:rsidR="00000000" w:rsidDel="00000000" w:rsidP="00000000" w:rsidRDefault="00000000" w:rsidRPr="00000000" w14:paraId="00000024">
      <w:pPr>
        <w:ind w:left="720" w:firstLine="0"/>
        <w:jc w:val="both"/>
        <w:rPr>
          <w:color w:val="333333"/>
          <w:highlight w:val="white"/>
        </w:rPr>
      </w:pPr>
      <w:r w:rsidDel="00000000" w:rsidR="00000000" w:rsidRPr="00000000">
        <w:rPr>
          <w:color w:val="333333"/>
          <w:highlight w:val="white"/>
          <w:rtl w:val="0"/>
        </w:rPr>
        <w:t xml:space="preserve">Por lo tanto, TMPRSS6 se encarga de aumentar o disminuir la producción de hepcidina teniendo en cuenta que tanto hierro es necesario en el cuerpo. En el caso de que los niveles sean bajos va a reducir la producción, mientras que si los niveles son altos la va a aumentar.</w:t>
      </w:r>
    </w:p>
    <w:p w:rsidR="00000000" w:rsidDel="00000000" w:rsidP="00000000" w:rsidRDefault="00000000" w:rsidRPr="00000000" w14:paraId="00000025">
      <w:pPr>
        <w:jc w:val="both"/>
        <w:rPr>
          <w:color w:val="333333"/>
          <w:highlight w:val="white"/>
        </w:rPr>
      </w:pPr>
      <w:r w:rsidDel="00000000" w:rsidR="00000000" w:rsidRPr="00000000">
        <w:rPr>
          <w:rtl w:val="0"/>
        </w:rPr>
      </w:r>
    </w:p>
    <w:p w:rsidR="00000000" w:rsidDel="00000000" w:rsidP="00000000" w:rsidRDefault="00000000" w:rsidRPr="00000000" w14:paraId="00000026">
      <w:pPr>
        <w:numPr>
          <w:ilvl w:val="0"/>
          <w:numId w:val="3"/>
        </w:numPr>
        <w:ind w:left="720" w:hanging="360"/>
        <w:jc w:val="both"/>
        <w:rPr>
          <w:color w:val="333333"/>
          <w:highlight w:val="white"/>
          <w:u w:val="none"/>
        </w:rPr>
      </w:pPr>
      <w:r w:rsidDel="00000000" w:rsidR="00000000" w:rsidRPr="00000000">
        <w:rPr>
          <w:color w:val="333333"/>
          <w:highlight w:val="white"/>
          <w:rtl w:val="0"/>
        </w:rPr>
        <w:t xml:space="preserve">Según </w:t>
      </w:r>
      <w:r w:rsidDel="00000000" w:rsidR="00000000" w:rsidRPr="00000000">
        <w:rPr>
          <w:b w:val="1"/>
          <w:color w:val="333333"/>
          <w:highlight w:val="white"/>
          <w:rtl w:val="0"/>
        </w:rPr>
        <w:t xml:space="preserve">Reactome</w:t>
      </w:r>
      <w:r w:rsidDel="00000000" w:rsidR="00000000" w:rsidRPr="00000000">
        <w:rPr>
          <w:color w:val="333333"/>
          <w:highlight w:val="white"/>
          <w:rtl w:val="0"/>
        </w:rPr>
        <w:t xml:space="preserve">, TMPRSS6 participa en 2 pathways:</w:t>
      </w:r>
    </w:p>
    <w:p w:rsidR="00000000" w:rsidDel="00000000" w:rsidP="00000000" w:rsidRDefault="00000000" w:rsidRPr="00000000" w14:paraId="00000027">
      <w:pPr>
        <w:numPr>
          <w:ilvl w:val="0"/>
          <w:numId w:val="1"/>
        </w:numPr>
        <w:ind w:left="1440" w:hanging="360"/>
        <w:jc w:val="both"/>
        <w:rPr>
          <w:color w:val="333333"/>
          <w:highlight w:val="white"/>
          <w:u w:val="none"/>
        </w:rPr>
      </w:pPr>
      <w:r w:rsidDel="00000000" w:rsidR="00000000" w:rsidRPr="00000000">
        <w:rPr>
          <w:color w:val="333333"/>
          <w:highlight w:val="white"/>
          <w:rtl w:val="0"/>
        </w:rPr>
        <w:t xml:space="preserve">Degradación de la matriz extracelular</w:t>
      </w:r>
    </w:p>
    <w:p w:rsidR="00000000" w:rsidDel="00000000" w:rsidP="00000000" w:rsidRDefault="00000000" w:rsidRPr="00000000" w14:paraId="00000028">
      <w:pPr>
        <w:numPr>
          <w:ilvl w:val="0"/>
          <w:numId w:val="1"/>
        </w:numPr>
        <w:ind w:left="1440" w:hanging="360"/>
        <w:jc w:val="both"/>
        <w:rPr>
          <w:color w:val="333333"/>
          <w:highlight w:val="white"/>
          <w:u w:val="none"/>
        </w:rPr>
      </w:pPr>
      <w:r w:rsidDel="00000000" w:rsidR="00000000" w:rsidRPr="00000000">
        <w:rPr>
          <w:color w:val="333333"/>
          <w:highlight w:val="white"/>
          <w:rtl w:val="0"/>
        </w:rPr>
        <w:t xml:space="preserve">Degradación de colágeno</w:t>
      </w:r>
    </w:p>
    <w:p w:rsidR="00000000" w:rsidDel="00000000" w:rsidP="00000000" w:rsidRDefault="00000000" w:rsidRPr="00000000" w14:paraId="00000029">
      <w:pPr>
        <w:jc w:val="both"/>
        <w:rPr>
          <w:color w:val="333333"/>
          <w:highlight w:val="white"/>
        </w:rPr>
      </w:pPr>
      <w:r w:rsidDel="00000000" w:rsidR="00000000" w:rsidRPr="00000000">
        <w:rPr>
          <w:rtl w:val="0"/>
        </w:rPr>
      </w:r>
    </w:p>
    <w:p w:rsidR="00000000" w:rsidDel="00000000" w:rsidP="00000000" w:rsidRDefault="00000000" w:rsidRPr="00000000" w14:paraId="0000002A">
      <w:pPr>
        <w:numPr>
          <w:ilvl w:val="0"/>
          <w:numId w:val="3"/>
        </w:numPr>
        <w:ind w:left="720" w:hanging="360"/>
        <w:jc w:val="both"/>
        <w:rPr>
          <w:color w:val="333333"/>
          <w:highlight w:val="white"/>
          <w:u w:val="none"/>
        </w:rPr>
      </w:pPr>
      <w:r w:rsidDel="00000000" w:rsidR="00000000" w:rsidRPr="00000000">
        <w:rPr>
          <w:color w:val="333333"/>
          <w:highlight w:val="white"/>
          <w:rtl w:val="0"/>
        </w:rPr>
        <w:t xml:space="preserve">Una variante que se puede encontrar en </w:t>
      </w:r>
      <w:r w:rsidDel="00000000" w:rsidR="00000000" w:rsidRPr="00000000">
        <w:rPr>
          <w:b w:val="1"/>
          <w:color w:val="333333"/>
          <w:highlight w:val="white"/>
          <w:rtl w:val="0"/>
        </w:rPr>
        <w:t xml:space="preserve">dbSNP</w:t>
      </w:r>
      <w:r w:rsidDel="00000000" w:rsidR="00000000" w:rsidRPr="00000000">
        <w:rPr>
          <w:color w:val="333333"/>
          <w:highlight w:val="white"/>
          <w:rtl w:val="0"/>
        </w:rPr>
        <w:t xml:space="preserve"> es </w:t>
      </w:r>
      <w:r w:rsidDel="00000000" w:rsidR="00000000" w:rsidRPr="00000000">
        <w:rPr>
          <w:b w:val="1"/>
          <w:color w:val="333333"/>
          <w:highlight w:val="white"/>
          <w:rtl w:val="0"/>
        </w:rPr>
        <w:t xml:space="preserve">rs855791</w:t>
      </w:r>
      <w:r w:rsidDel="00000000" w:rsidR="00000000" w:rsidRPr="00000000">
        <w:rPr>
          <w:color w:val="333333"/>
          <w:highlight w:val="white"/>
          <w:rtl w:val="0"/>
        </w:rPr>
        <w:t xml:space="preserve">. Varía en un nucleótido (Single Nucleotide Variation) y además reduce el estado del hierro y los niveles de hemoglobina (Hb), en la anemia y las concentraciones de Hb.</w:t>
      </w:r>
    </w:p>
    <w:p w:rsidR="00000000" w:rsidDel="00000000" w:rsidP="00000000" w:rsidRDefault="00000000" w:rsidRPr="00000000" w14:paraId="0000002B">
      <w:pPr>
        <w:ind w:left="720" w:firstLine="0"/>
        <w:jc w:val="both"/>
        <w:rPr>
          <w:color w:val="333333"/>
          <w:highlight w:val="white"/>
        </w:rPr>
      </w:pPr>
      <w:r w:rsidDel="00000000" w:rsidR="00000000" w:rsidRPr="00000000">
        <w:rPr>
          <w:color w:val="333333"/>
          <w:highlight w:val="white"/>
          <w:rtl w:val="0"/>
        </w:rPr>
        <w:t xml:space="preserve">En la población esta variación tiene como máximo 0.</w:t>
      </w:r>
      <w:r w:rsidDel="00000000" w:rsidR="00000000" w:rsidRPr="00000000">
        <w:rPr>
          <w:color w:val="333333"/>
          <w:sz w:val="26"/>
          <w:szCs w:val="26"/>
          <w:shd w:fill="f9f9f9" w:val="clear"/>
          <w:rtl w:val="0"/>
        </w:rPr>
        <w:t xml:space="preserve">591</w:t>
      </w:r>
      <w:r w:rsidDel="00000000" w:rsidR="00000000" w:rsidRPr="00000000">
        <w:rPr>
          <w:color w:val="333333"/>
          <w:highlight w:val="white"/>
          <w:rtl w:val="0"/>
        </w:rPr>
        <w:t xml:space="preserve"> % de frecuencia y el lugar donde se encuentra este mayor porcentaje es en Native Hawaiian.</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C">
      <w:pPr>
        <w:spacing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https://www.ncbi.nlm.nih.gov/gene/164656</w:t>
        </w:r>
      </w:hyperlink>
      <w:r w:rsidDel="00000000" w:rsidR="00000000" w:rsidRPr="00000000">
        <w:rPr>
          <w:rtl w:val="0"/>
        </w:rPr>
      </w:r>
    </w:p>
    <w:p w:rsidR="00000000" w:rsidDel="00000000" w:rsidP="00000000" w:rsidRDefault="00000000" w:rsidRPr="00000000" w14:paraId="0000002D">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02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p w:rsidR="00000000" w:rsidDel="00000000" w:rsidP="00000000" w:rsidRDefault="00000000" w:rsidRPr="00000000" w14:paraId="0000002F">
      <w:pPr>
        <w:spacing w:line="240" w:lineRule="auto"/>
        <w:rPr>
          <w:color w:val="1155cc"/>
          <w:sz w:val="20"/>
          <w:szCs w:val="20"/>
          <w:u w:val="single"/>
        </w:rPr>
      </w:pPr>
      <w:hyperlink r:id="rId2">
        <w:r w:rsidDel="00000000" w:rsidR="00000000" w:rsidRPr="00000000">
          <w:rPr>
            <w:color w:val="1155cc"/>
            <w:sz w:val="20"/>
            <w:szCs w:val="20"/>
            <w:u w:val="single"/>
            <w:rtl w:val="0"/>
          </w:rPr>
          <w:t xml:space="preserve">https://www.ensembl.org/Homo_sapiens/Gene/Splice?g=ENSG00000187045;r=22:37065436-37109713</w:t>
        </w:r>
      </w:hyperlink>
      <w:r w:rsidDel="00000000" w:rsidR="00000000" w:rsidRPr="00000000">
        <w:rPr>
          <w:rtl w:val="0"/>
        </w:rPr>
      </w:r>
    </w:p>
  </w:footnote>
  <w:footnote w:id="2">
    <w:p w:rsidR="00000000" w:rsidDel="00000000" w:rsidP="00000000" w:rsidRDefault="00000000" w:rsidRPr="00000000" w14:paraId="0000003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https://thebiogrid.org/109432/summary/homo-sapiens/hnrnpl.html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ncbi.nlm.nih.gov/gene/164656" TargetMode="External"/><Relationship Id="rId2" Type="http://schemas.openxmlformats.org/officeDocument/2006/relationships/hyperlink" Target="https://www.ensembl.org/Homo_sapiens/Gene/Splice?g=ENSG00000187045;r=22:37065436-37109713" TargetMode="External"/><Relationship Id="rId3" Type="http://schemas.openxmlformats.org/officeDocument/2006/relationships/hyperlink" Target="https://thebiogrid.org/109432/summary/homo-sapiens/hnrn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