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Content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Trust and Authenticity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Asset Identifiers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Rights Declarations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Watermarking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Other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Content Credentials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Content Credentials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1: Core foundation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2: Trust profiles catalog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JPEG Trust Part 3: Media asset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CAWG 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Originator Profile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Overview of trustworthiness in artificial intelligence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trust-based media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Trust.txt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Chromium Reputation Provider Framework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ISCC: International Standard Content Code (ISCC)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Unique Media Identifier (UMid)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TDM Reservation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ai.txt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Robots Exclusion Protocol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Vocabulary for Expressing Content Preferences for AI Training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Open Binding of Content Identifiers (OBID)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X.ig-dw: Implementation guidelines for digital watermarking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DRM technology for digital publications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Part 1: Overview of copyright protection technologies in use in the publishing industry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 Review of Medical Image Watermarking Requirements for Teleradiology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MPEG-21 — Part 11: Evaluation Tools for Persistent Association Technologies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Draft Standard for Evaluation Method 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Robustness of Digital Watermarking Implementation in Digital Contents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H.MMAUTH: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Framework for authentication of multimedia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H.274(V4):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Versatile supplemental enhancement information messages for coded video bitstreams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H.VADS: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Assessment criteria for video authenticity detection services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Credible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Technical and Governance Guidelines for Responsible Data Collection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Provenance Standards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IEEE Standard for Transparent Human and Machine Agency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IPTC Photo Metadata 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DASH - Part 4: Segment Encryption and Authentication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Recommended Practices for Levels of Artificial Intelligence Generated Content Technologies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2025-06-20T12:29:45Z</dcterms:created>
  <dcterms:modified xsi:type="dcterms:W3CDTF">2025-06-20T12:29:45Z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