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2025-05-06</w:t>
      </w:r>
    </w:p>
    <w:bookmarkStart w:id="20" w:name="Xff34edc44ae31c8f12a67c7de3af679c4172652"/>
    <w:p>
      <w:pPr>
        <w:pStyle w:val="Heading1"/>
      </w:pPr>
      <w:r>
        <w:t xml:space="preserve">Executive Summary</w:t>
      </w:r>
    </w:p>
    <w:p>
      <w:pPr>
        <w:pStyle w:val="FirstParagraph"/>
      </w:pPr>
      <w:r>
        <w:t xml:space="preserve">This technical report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highlights the importance of these standards in ensuring the integrity, traceability, and trustworthiness of digital content, particularly in the context of generative AI and its implications for content creation and distribution.</w:t>
      </w:r>
    </w:p>
    <w:p>
      <w:pPr>
        <w:pStyle w:val="BodyText"/>
      </w:pPr>
      <w:r>
        <w:t xml:space="preserve">By mapping the contributions of various Standard Development Organizations (SDOs) and groups, this report identifies existing gaps and opportunities for further standardization. It serves as a valuable resource for stakeholders seeking to navigate the complex ecosystem of digital media standards and implement best practices to safeguard the authenticity and rights of digital assets. The findings underscore the critical role of robust standards in fostering trust and accountability in the evolving digital landscape.</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is still needed to ensure the authenticity and integrity of digital content. From that review, we have broken this report into the categories: content provenance, trust and authenticity, asset identifiers, rights declarations, and watermarking.</w:t>
      </w:r>
    </w:p>
    <w:bookmarkEnd w:id="22"/>
    <w:bookmarkEnd w:id="23"/>
    <w:bookmarkStart w:id="31" w:name="Xc8291f51348e252cf2e59c4c2a9dd1b94c71b1b"/>
    <w:p>
      <w:pPr>
        <w:pStyle w:val="Heading1"/>
      </w:pPr>
      <w:r>
        <w:t xml:space="preserve">Categories of Standards</w:t>
      </w:r>
    </w:p>
    <w:p>
      <w:pPr>
        <w:pStyle w:val="FirstParagraph"/>
      </w:pPr>
      <w:r>
        <w:t xml:space="preserve">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bookmarkStart w:id="24" w:name="X0a47efc6216b1e8087bb44b47ea67a763799e50"/>
    <w:p>
      <w:pPr>
        <w:pStyle w:val="Heading2"/>
      </w:pPr>
      <w:r>
        <w:t xml:space="preserve">Content Provenance</w:t>
      </w:r>
    </w:p>
    <w:p>
      <w:pPr>
        <w:pStyle w:val="FirstParagraph"/>
      </w:pPr>
      <w:r>
        <w:t xml:space="preserve">Content provenance refers to information on the origin and history of digital content. This is an important tool for the verification of the authenticity and integrity of digital assets. Provenance information helps in tracking the creation, modification, and distribution of content, providing a transparent record that can be used to establish trust and accountability. This is particularly important in use cases and applications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bookmarkEnd w:id="30"/>
    <w:bookmarkEnd w:id="31"/>
    <w:bookmarkStart w:id="84"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 Types:</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 Types:</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fd89f314caf122bf6ec1b24571d7dcab9b4fb59"/>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 (JPEG)</w:t>
      </w:r>
    </w:p>
    <w:p>
      <w:pPr>
        <w:numPr>
          <w:ilvl w:val="0"/>
          <w:numId w:val="1003"/>
        </w:numPr>
      </w:pPr>
      <w:r>
        <w:rPr>
          <w:b/>
          <w:bCs/>
        </w:rPr>
        <w:t xml:space="preserve">Link:</w:t>
      </w:r>
      <w:r>
        <w:t xml:space="preserve"> </w:t>
      </w:r>
      <w:hyperlink r:id="rId36">
        <w:r>
          <w:rPr>
            <w:rStyle w:val="Hyperlink"/>
          </w:rPr>
          <w:t xml:space="preserve">ISO/IEC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 Types:</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37"/>
    <w:bookmarkStart w:id="38" w:name="X7941bd195ee5f31293d93f244fdbf1866f141b2"/>
    <w:p>
      <w:pPr>
        <w:pStyle w:val="Heading2"/>
      </w:pPr>
      <w:r>
        <w:t xml:space="preserve">JPEG Trust Part 2: Trust profiles catalogue</w:t>
      </w:r>
    </w:p>
    <w:p>
      <w:pPr>
        <w:numPr>
          <w:ilvl w:val="0"/>
          <w:numId w:val="1004"/>
        </w:numPr>
      </w:pPr>
      <w:r>
        <w:rPr>
          <w:b/>
          <w:bCs/>
        </w:rPr>
        <w:t xml:space="preserve">SDO/Group:</w:t>
      </w:r>
      <w:r>
        <w:t xml:space="preserve"> </w:t>
      </w:r>
      <w:r>
        <w:t xml:space="preserve">ISO/IEC JTC 1/SC 29/WG 1 (JPEG)</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 Types:</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38"/>
    <w:bookmarkStart w:id="39" w:name="X0bada2f47c3456953e1b216630c137fc065465b"/>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 (JPEG)</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 Types:</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(new version in progress)</w:t>
      </w:r>
    </w:p>
    <w:p>
      <w:pPr>
        <w:numPr>
          <w:ilvl w:val="0"/>
          <w:numId w:val="1006"/>
        </w:numPr>
      </w:pPr>
      <w:r>
        <w:rPr>
          <w:b/>
          <w:bCs/>
        </w:rPr>
        <w:t xml:space="preserve">Media Types:</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 Types:</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 Types:</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7" w:name="Xf9b22e6808e59f543fe38b9a5e8cb5d2e953e8e"/>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46">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 Types:</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48">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 Types:</w:t>
      </w:r>
      <w:r>
        <w:t xml:space="preserve"> </w:t>
      </w:r>
      <w:r>
        <w:t xml:space="preserve">n/a</w:t>
      </w:r>
    </w:p>
    <w:p>
      <w:pPr>
        <w:numPr>
          <w:ilvl w:val="0"/>
          <w:numId w:val="1010"/>
        </w:numPr>
      </w:pPr>
      <w:r>
        <w:rPr>
          <w:b/>
          <w:bCs/>
        </w:rPr>
        <w:t xml:space="preserve">Summary:</w:t>
      </w:r>
      <w:r>
        <w:t xml:space="preserve"> </w:t>
      </w:r>
      <w:r>
        <w:t xml:space="preserve">This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50">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 Types:</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52">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 Types:</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2"/>
      </w:pPr>
      <w:r>
        <w:t xml:space="preserve">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54">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 Types:</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56">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 Types:</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58">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 Types:</w:t>
      </w:r>
      <w:r>
        <w:t xml:space="preserve"> </w:t>
      </w:r>
      <w:r>
        <w:t xml:space="preserve">Web pages, EPub and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60">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 Types:</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62">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 Types:</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2"/>
      </w:pPr>
      <w:r>
        <w:t xml:space="preserve">Vocabulary for Expressing Content Preferences for AI</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4">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 Types:</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65"/>
    <w:bookmarkStart w:id="67" w:name="Xb2b4d78d430eeee375eb1484c0ecfbb7fda2a32"/>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66">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 Types:</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68">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 Types:</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2"/>
      </w:pPr>
      <w:r>
        <w:t xml:space="preserve">Specification of Digital Rights Management (DRM) Technology for Digital Publications</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70">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 Types:</w:t>
      </w:r>
      <w:r>
        <w:t xml:space="preserve"> </w:t>
      </w:r>
      <w:r>
        <w:t xml:space="preserve">EPub and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72">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 Types:</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2"/>
      </w:pPr>
      <w:r>
        <w:t xml:space="preserve">Evaluation Tools for Persistent Association Technologies</w:t>
      </w:r>
    </w:p>
    <w:p>
      <w:pPr>
        <w:numPr>
          <w:ilvl w:val="0"/>
          <w:numId w:val="1023"/>
        </w:numPr>
      </w:pPr>
      <w:r>
        <w:rPr>
          <w:b/>
          <w:bCs/>
        </w:rPr>
        <w:t xml:space="preserve">SDO/Group:</w:t>
      </w:r>
      <w:r>
        <w:t xml:space="preserve"> </w:t>
      </w:r>
      <w:r>
        <w:t xml:space="preserve">ISO/IEC JTC 1/SC 29/WG 11 (MPEG)</w:t>
      </w:r>
    </w:p>
    <w:p>
      <w:pPr>
        <w:numPr>
          <w:ilvl w:val="0"/>
          <w:numId w:val="1023"/>
        </w:numPr>
      </w:pPr>
      <w:r>
        <w:rPr>
          <w:b/>
          <w:bCs/>
        </w:rPr>
        <w:t xml:space="preserve">Link:</w:t>
      </w:r>
      <w:r>
        <w:t xml:space="preserve"> </w:t>
      </w:r>
      <w:hyperlink r:id="rId74">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 Types:</w:t>
      </w:r>
      <w:r>
        <w:t xml:space="preserve"> </w:t>
      </w:r>
      <w:r>
        <w:t xml:space="preserve">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76">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 Types:</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Start w:id="79" w:name="Xba55e5afae69bc2fe9fb6758a645609cdf79ad0"/>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78">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 Types:</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content’s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79"/>
    <w:bookmarkStart w:id="81" w:name="X8c4a864cf6b4f327644b2746c451b762db395c8"/>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80">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 Types:</w:t>
      </w:r>
      <w:r>
        <w:t xml:space="preserve"> </w:t>
      </w:r>
      <w:r>
        <w:t xml:space="preserve">Video</w:t>
      </w:r>
    </w:p>
    <w:p>
      <w:pPr>
        <w:numPr>
          <w:ilvl w:val="0"/>
          <w:numId w:val="1026"/>
        </w:numPr>
      </w:pPr>
      <w:r>
        <w:rPr>
          <w:b/>
          <w:bCs/>
        </w:rPr>
        <w:t xml:space="preserve">Summary:</w:t>
      </w:r>
      <w:r>
        <w:t xml:space="preserve"> </w:t>
      </w:r>
      <w:r>
        <w:t xml:space="preserve">This specification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bookmarkEnd w:id="81"/>
    <w:bookmarkStart w:id="83" w:name="X267c22e1aa78fc5c7bb34f0f9d078bdaef95e87"/>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82">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 Types:</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Assessment categories cover the detection of various forms of intra-frame and inter-frame manipulation, as well as the overall performance of authenticity detection services. By establishing a structured, criteria-based approach, this draft recommendation would guide the development, evaluation, and selection of reliable and effective video authenticity detection services.</w:t>
      </w:r>
    </w:p>
    <w:bookmarkEnd w:id="83"/>
    <w:bookmarkEnd w:id="84"/>
    <w:bookmarkStart w:id="94" w:name="Xaa001a63acd0ff0a1e9bcd198b7f354a92f792e"/>
    <w:p>
      <w:pPr>
        <w:pStyle w:val="Heading1"/>
      </w:pPr>
      <w:r>
        <w:t xml:space="preserve">Standardization Map</w:t>
      </w:r>
    </w:p>
    <w:bookmarkStart w:id="85"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jc w:val="left"/>
            </w:pPr>
            <w:r>
              <w:t xml:space="preserve">x</w:t>
            </w:r>
          </w:p>
        </w:tc>
        <w:tc>
          <w:tcPr/>
          <w:p>
            <w:pPr>
              <w:jc w:val="left"/>
            </w:pPr>
            <w:r>
              <w:t xml:space="preserve">x</w:t>
            </w: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H.274(V4): Versatile supplemental enhancement information messages for coded video bitstreams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H.VADS: Assessment criteria for video authenticity detection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bl>
    <w:bookmarkEnd w:id="85"/>
    <w:bookmarkStart w:id="93" w:name="X569292577f64fb049924eb3185ffd6f513576c7"/>
    <w:p>
      <w:pPr>
        <w:pStyle w:val="Heading2"/>
      </w:pPr>
      <w:r>
        <w:t xml:space="preserve">Graphical Representations</w:t>
      </w:r>
    </w:p>
    <w:bookmarkStart w:id="92" w:name="Xbe223489e5f7011b251d1084ff9bbed5f0220ab"/>
    <w:p>
      <w:pPr>
        <w:pStyle w:val="Heading3"/>
      </w:pPr>
      <w:r>
        <w:t xml:space="preserve">A visualization of the Standards Categorization</w:t>
      </w:r>
    </w:p>
    <w:p>
      <w:pPr>
        <w:pStyle w:val="Figure"/>
      </w:pPr>
      <w:r>
        <w:drawing>
          <wp:inline>
            <wp:extent cx="5334000" cy="5443175"/>
            <wp:effectExtent b="0" l="0" r="0" t="0"/>
            <wp:docPr descr="Visual map of the Standards Categorization" title="" id="87" name="Picture"/>
            <a:graphic>
              <a:graphicData uri="http://schemas.openxmlformats.org/drawingml/2006/picture">
                <pic:pic>
                  <pic:nvPicPr>
                    <pic:cNvPr descr="images/radarmap-1.png" id="88" name="Picture"/>
                    <pic:cNvPicPr>
                      <a:picLocks noChangeArrowheads="1" noChangeAspect="1"/>
                    </pic:cNvPicPr>
                  </pic:nvPicPr>
                  <pic:blipFill>
                    <a:blip r:embed="rId86"/>
                    <a:stretch>
                      <a:fillRect/>
                    </a:stretch>
                  </pic:blipFill>
                  <pic:spPr bwMode="auto">
                    <a:xfrm>
                      <a:off x="0" y="0"/>
                      <a:ext cx="5334000" cy="5443175"/>
                    </a:xfrm>
                    <a:prstGeom prst="rect">
                      <a:avLst/>
                    </a:prstGeom>
                    <a:noFill/>
                    <a:ln w="9525">
                      <a:noFill/>
                      <a:headEnd/>
                      <a:tailEnd/>
                    </a:ln>
                  </pic:spPr>
                </pic:pic>
              </a:graphicData>
            </a:graphic>
          </wp:inline>
        </w:drawing>
      </w:r>
    </w:p>
    <w:p>
      <w:pPr>
        <w:pStyle w:val="Figure"/>
      </w:pPr>
      <w:r>
        <w:drawing>
          <wp:inline>
            <wp:extent cx="5334000" cy="3966556"/>
            <wp:effectExtent b="0" l="0" r="0" t="0"/>
            <wp:docPr descr="Visual map of the Standards Categorization" title="" id="90" name="Picture"/>
            <a:graphic>
              <a:graphicData uri="http://schemas.openxmlformats.org/drawingml/2006/picture">
                <pic:pic>
                  <pic:nvPicPr>
                    <pic:cNvPr descr="images/radarmap-2.png" id="91" name="Picture"/>
                    <pic:cNvPicPr>
                      <a:picLocks noChangeArrowheads="1" noChangeAspect="1"/>
                    </pic:cNvPicPr>
                  </pic:nvPicPr>
                  <pic:blipFill>
                    <a:blip r:embed="rId89"/>
                    <a:stretch>
                      <a:fillRect/>
                    </a:stretch>
                  </pic:blipFill>
                  <pic:spPr bwMode="auto">
                    <a:xfrm>
                      <a:off x="0" y="0"/>
                      <a:ext cx="5334000" cy="3966556"/>
                    </a:xfrm>
                    <a:prstGeom prst="rect">
                      <a:avLst/>
                    </a:prstGeom>
                    <a:noFill/>
                    <a:ln w="9525">
                      <a:noFill/>
                      <a:headEnd/>
                      <a:tailEnd/>
                    </a:ln>
                  </pic:spPr>
                </pic:pic>
              </a:graphicData>
            </a:graphic>
          </wp:inline>
        </w:drawing>
      </w:r>
    </w:p>
    <w:bookmarkEnd w:id="92"/>
    <w:bookmarkEnd w:id="93"/>
    <w:bookmarkEnd w:id="94"/>
    <w:bookmarkStart w:id="95" w:name="Xe3320f36cefde5c58e5d3a5e13a1324503ffccd"/>
    <w:p>
      <w:pPr>
        <w:pStyle w:val="Heading1"/>
      </w:pPr>
      <w:r>
        <w:t xml:space="preserve">Identified Gaps and Opportunities</w:t>
      </w:r>
    </w:p>
    <w:p>
      <w:pPr>
        <w:pStyle w:val="FirstParagraph"/>
      </w:pPr>
      <w:r>
        <w:t xml:space="preserve">TBD</w:t>
      </w:r>
    </w:p>
    <w:bookmarkEnd w:id="95"/>
    <w:bookmarkStart w:id="96" w:name="X64faff7e383d04341a4f234aa69d9e888d691f3"/>
    <w:p>
      <w:pPr>
        <w:pStyle w:val="Heading1"/>
      </w:pPr>
      <w:r>
        <w:t xml:space="preserve">Conclusion and next steps</w:t>
      </w:r>
    </w:p>
    <w:p>
      <w:pPr>
        <w:pStyle w:val="FirstParagraph"/>
      </w:pPr>
      <w:r>
        <w:t xml:space="preserve">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standards through education, advocacy, and pilot implementations will be crucial in ensuring their effectiveness and impact.</w:t>
      </w:r>
    </w:p>
    <w:p>
      <w:pPr>
        <w:pStyle w:val="BodyText"/>
      </w:pPr>
      <w:r>
        <w:t xml:space="preserve">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82" Target="https://www.itu.int/ITU-T/workprog/wp_item.aspx?isn=22161" TargetMode="External" /><Relationship Type="http://schemas.openxmlformats.org/officeDocument/2006/relationships/hyperlink" Id="rId80" Target="https://www.itu.int/itu-t/workprog/wp_item.aspx?isn=21058" TargetMode="External" /><Relationship Type="http://schemas.openxmlformats.org/officeDocument/2006/relationships/hyperlink" Id="rId78" Target="https://www.itu.int/itu-t/workprog/wp_item.aspx?isn=21141"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82" Target="https://www.itu.int/ITU-T/workprog/wp_item.aspx?isn=22161" TargetMode="External" /><Relationship Type="http://schemas.openxmlformats.org/officeDocument/2006/relationships/hyperlink" Id="rId80" Target="https://www.itu.int/itu-t/workprog/wp_item.aspx?isn=21058" TargetMode="External" /><Relationship Type="http://schemas.openxmlformats.org/officeDocument/2006/relationships/hyperlink" Id="rId78" Target="https://www.itu.int/itu-t/workprog/wp_item.aspx?isn=21141"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2025-05-06T11:31:45Z</dcterms:created>
  <dcterms:modified xsi:type="dcterms:W3CDTF">2025-05-06T11:31:45Z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2025-05-06</vt:lpwstr>
  </property>
  <property fmtid="{D5CDD505-2E9C-101B-9397-08002B2CF9AE}" pid="3" name="subtitle">
    <vt:lpwstr>Mapping the standardisation landscape</vt:lpwstr>
  </property>
</Properties>
</file>