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Report on AI and Multimedia Authenticity Standards</w:t>
      </w:r>
    </w:p>
    <w:p>
      <w:pPr>
        <w:pStyle w:val="Subtitle"/>
      </w:pPr>
      <w:r>
        <w:t xml:space="preserve">Mapping the standardisation landscape</w:t>
      </w:r>
    </w:p>
    <w:p>
      <w:pPr>
        <w:pStyle w:val="Date"/>
      </w:pPr>
      <w:r>
        <w:t xml:space="preserve">2025-04-28</w:t>
      </w:r>
    </w:p>
    <w:bookmarkStart w:id="20" w:name="Xff34edc44ae31c8f12a67c7de3af679c4172652"/>
    <w:p>
      <w:pPr>
        <w:pStyle w:val="Heading1"/>
      </w:pPr>
      <w:r>
        <w:t xml:space="preserve">Executive Summary</w:t>
      </w:r>
    </w:p>
    <w:p>
      <w:pPr>
        <w:pStyle w:val="FirstParagraph"/>
      </w:pPr>
      <w:r>
        <w:t xml:space="preserve">TBD</w:t>
      </w:r>
    </w:p>
    <w:bookmarkEnd w:id="20"/>
    <w:bookmarkStart w:id="23" w:name="X1ea7cbd003469405f98a7976943980a7b23bcee"/>
    <w:p>
      <w:pPr>
        <w:pStyle w:val="Heading1"/>
      </w:pPr>
      <w:r>
        <w:t xml:space="preserve">Introduction</w:t>
      </w:r>
    </w:p>
    <w:p>
      <w:pPr>
        <w:pStyle w:val="FirstParagraph"/>
      </w:pPr>
      <w:r>
        <w:t xml:space="preserve">This report provides a comprehensive overview of various standards and specifications related to digital media, focusing on content provenance, trust 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pPr>
        <w:pStyle w:val="BodyText"/>
      </w:pPr>
      <w:r>
        <w:t xml:space="preserve">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bookmarkStart w:id="21" w:name="Xe2f03007917354cd809bf87acfd39a328adf8e7"/>
    <w:p>
      <w:pPr>
        <w:pStyle w:val="Heading2"/>
      </w:pPr>
      <w:r>
        <w:t xml:space="preserve">About the AMAS initiative</w:t>
      </w:r>
    </w:p>
    <w:p>
      <w:pPr>
        <w:pStyle w:val="FirstParagraph"/>
      </w:pPr>
      <w:r>
        <w:t xml:space="preserve">TBD</w:t>
      </w:r>
    </w:p>
    <w:bookmarkEnd w:id="21"/>
    <w:bookmarkStart w:id="22" w:name="X1beec11368e0cd39fa45f571b5bcacc8d93628a"/>
    <w:p>
      <w:pPr>
        <w:pStyle w:val="Heading2"/>
      </w:pPr>
      <w:r>
        <w:t xml:space="preserve">Methodology</w:t>
      </w:r>
    </w:p>
    <w:p>
      <w:pPr>
        <w:pStyle w:val="FirstParagraph"/>
      </w:pPr>
      <w:r>
        <w:t xml:space="preserve">The approach taken in this report involves a thorough review of existing standards and specifications related to digital media. The focus is on identifying key areas where standards already exist, and from that, what are still are needed to ensure the authenticity and integrity of digital content. From that review, we have broken this report into the categories: content provenance, trust and authenticity, asset identifiers, rights declarations, and watermarking.</w:t>
      </w:r>
    </w:p>
    <w:bookmarkEnd w:id="22"/>
    <w:bookmarkEnd w:id="23"/>
    <w:bookmarkStart w:id="31" w:name="Xc8291f51348e252cf2e59c4c2a9dd1b94c71b1b"/>
    <w:p>
      <w:pPr>
        <w:pStyle w:val="Heading1"/>
      </w:pPr>
      <w:r>
        <w:t xml:space="preserve">Categories of Standards</w:t>
      </w:r>
    </w:p>
    <w:p>
      <w:pPr>
        <w:pStyle w:val="FirstParagraph"/>
      </w:pPr>
      <w:r>
        <w:t xml:space="preserve">In this white paper, we have clustered those standards and specifications in the scope of this analysis into five categories: content provenance, trust and authenticity, asset identifiers, rights declaration and watermarking. Rights declaration is in turn is defined in two inclinations: general purpose and opt-out mechanisms. The general purpose rights declaration addresses a broad scope while the opt-out mechanisms refer to a specific aspect of right declaration that is of relevance to the scope of this document.</w:t>
      </w:r>
    </w:p>
    <w:bookmarkStart w:id="24" w:name="X0a47efc6216b1e8087bb44b47ea67a763799e50"/>
    <w:p>
      <w:pPr>
        <w:pStyle w:val="Heading2"/>
      </w:pPr>
      <w:r>
        <w:t xml:space="preserve">Content Provenance</w:t>
      </w:r>
    </w:p>
    <w:p>
      <w:pPr>
        <w:pStyle w:val="FirstParagraph"/>
      </w:pPr>
      <w:r>
        <w:t xml:space="preserve">Content provenance refers to information on the origin and history of digital content. This is an important tool for the verification of authenticity and integrity of digital assets. Provenance information helps in tracking the creation, modification, and distribution of content, providing a transparent record that can be used to establish trust and accountability. This is particularly important use cases and applications where the authenticity of content is paramount, such as in journalism, scientific research, and digital art.</w:t>
      </w:r>
    </w:p>
    <w:bookmarkEnd w:id="24"/>
    <w:bookmarkStart w:id="25" w:name="X09b73cb48b1aae34fc40b3b01e969d1a72ef64b"/>
    <w:p>
      <w:pPr>
        <w:pStyle w:val="Heading2"/>
      </w:pPr>
      <w:r>
        <w:t xml:space="preserve">Trust and Authenticity</w:t>
      </w:r>
    </w:p>
    <w:p>
      <w:pPr>
        <w:pStyle w:val="FirstParagraph"/>
      </w:pPr>
      <w:r>
        <w:t xml:space="preserve">Trust and authenticity measures ensure 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bookmarkEnd w:id="25"/>
    <w:bookmarkStart w:id="26" w:name="X6f7e9376a535b1709ab9b9222aa36ce1e62c083"/>
    <w:p>
      <w:pPr>
        <w:pStyle w:val="Heading2"/>
      </w:pPr>
      <w:r>
        <w:t xml:space="preserve">Asset Identifiers</w:t>
      </w:r>
    </w:p>
    <w:p>
      <w:pPr>
        <w:pStyle w:val="FirstParagraph"/>
      </w:pPr>
      <w:r>
        <w:t xml:space="preserve">Asset identifiers are unique codes assigned to digital content to ensure their proper management and tracking.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bookmarkEnd w:id="26"/>
    <w:bookmarkStart w:id="29" w:name="Xa495d5434ebc416af41da017b3037b26c359c5e"/>
    <w:p>
      <w:pPr>
        <w:pStyle w:val="Heading2"/>
      </w:pPr>
      <w:r>
        <w:t xml:space="preserve">Rights Declarations</w:t>
      </w:r>
    </w:p>
    <w:bookmarkStart w:id="27" w:name="X962c6cb9482dda833b92e31b0c6c653fe920c26"/>
    <w:p>
      <w:pPr>
        <w:pStyle w:val="Heading3"/>
      </w:pPr>
      <w:r>
        <w:t xml:space="preserve">General Purpose</w:t>
      </w:r>
    </w:p>
    <w:p>
      <w:pPr>
        <w:pStyle w:val="FirstParagraph"/>
      </w:pPr>
      <w: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bookmarkEnd w:id="27"/>
    <w:bookmarkStart w:id="28" w:name="X218c269ae72badc79523effb59ad19cf4baf0d8"/>
    <w:p>
      <w:pPr>
        <w:pStyle w:val="Heading3"/>
      </w:pPr>
      <w:r>
        <w:t xml:space="preserve">Opt-Out Mechanisms</w:t>
      </w:r>
    </w:p>
    <w:p>
      <w:pPr>
        <w:pStyle w:val="FirstParagraph"/>
      </w:pPr>
      <w:r>
        <w:t xml:space="preserve">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bookmarkEnd w:id="28"/>
    <w:bookmarkEnd w:id="29"/>
    <w:bookmarkStart w:id="30" w:name="X083975e8e15d6f70b86a0f9f0080058d74c83d6"/>
    <w:p>
      <w:pPr>
        <w:pStyle w:val="Heading2"/>
      </w:pPr>
      <w:r>
        <w:t xml:space="preserve">Watermarking</w:t>
      </w:r>
    </w:p>
    <w:p>
      <w:pPr>
        <w:pStyle w:val="FirstParagraph"/>
      </w:pPr>
      <w:r>
        <w:t xml:space="preserve">Watermarking ensures that digital content is marked in a way that can be used to verify its authenticity and ownership. Watermarking is increasingly used to facilitate the declaration of the rights of content creators and ensuring that their digital assets are not used without their consent. By implementing watermarking measures, organizations can provide users with greater control over their content and make sure that their rights are respected.</w:t>
      </w:r>
    </w:p>
    <w:bookmarkEnd w:id="30"/>
    <w:bookmarkEnd w:id="31"/>
    <w:bookmarkStart w:id="78" w:name="X167715539a1674dba792bbfa806e887929e2058"/>
    <w:p>
      <w:pPr>
        <w:pStyle w:val="Heading1"/>
      </w:pPr>
      <w:r>
        <w:t xml:space="preserve">Overview of Specifications</w:t>
      </w:r>
    </w:p>
    <w:bookmarkStart w:id="33" w:name="X94969f65c049ac498c62cd6f9caed2322979b5a"/>
    <w:p>
      <w:pPr>
        <w:pStyle w:val="Heading2"/>
      </w:pPr>
      <w:r>
        <w:t xml:space="preserve">Content Credentials (C2PA)</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32">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33"/>
    <w:bookmarkStart w:id="35" w:name="X92f4a83edda6ee541392cd70bf07889e712db7a"/>
    <w:p>
      <w:pPr>
        <w:pStyle w:val="Heading2"/>
      </w:pPr>
      <w:r>
        <w:t xml:space="preserve">Content Credentials (ISO 22144)</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34">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35"/>
    <w:bookmarkStart w:id="37" w:name="Xfd89f314caf122bf6ec1b24571d7dcab9b4fb59"/>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 (JPEG)</w:t>
      </w:r>
    </w:p>
    <w:p>
      <w:pPr>
        <w:numPr>
          <w:ilvl w:val="0"/>
          <w:numId w:val="1003"/>
        </w:numPr>
      </w:pPr>
      <w:r>
        <w:rPr>
          <w:b/>
          <w:bCs/>
        </w:rPr>
        <w:t xml:space="preserve">Link:</w:t>
      </w:r>
      <w:r>
        <w:t xml:space="preserve"> </w:t>
      </w:r>
      <w:hyperlink r:id="rId36">
        <w:r>
          <w:rPr>
            <w:rStyle w:val="Hyperlink"/>
          </w:rPr>
          <w:t xml:space="preserve">ISO/IEC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Summary:</w:t>
      </w:r>
      <w:r>
        <w:t xml:space="preserve"> </w:t>
      </w:r>
      <w:r>
        <w:t xml:space="preserve">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bookmarkEnd w:id="37"/>
    <w:bookmarkStart w:id="38" w:name="X7941bd195ee5f31293d93f244fdbf1866f141b2"/>
    <w:p>
      <w:pPr>
        <w:pStyle w:val="Heading2"/>
      </w:pPr>
      <w:r>
        <w:t xml:space="preserve">JPEG Trust Part 2: Trust profiles catalogue</w:t>
      </w:r>
    </w:p>
    <w:p>
      <w:pPr>
        <w:numPr>
          <w:ilvl w:val="0"/>
          <w:numId w:val="1004"/>
        </w:numPr>
      </w:pPr>
      <w:r>
        <w:rPr>
          <w:b/>
          <w:bCs/>
        </w:rPr>
        <w:t xml:space="preserve">SDO/Group:</w:t>
      </w:r>
      <w:r>
        <w:t xml:space="preserve"> </w:t>
      </w:r>
      <w:r>
        <w:t xml:space="preserve">ISO/IEC JTC 1/SC 29/WG 1 (JPEG)</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 use cases and applications such as broadcasting, digital cameras, AI-powered content generation services, etc.</w:t>
      </w:r>
    </w:p>
    <w:bookmarkEnd w:id="38"/>
    <w:bookmarkStart w:id="39" w:name="X0bada2f47c3456953e1b216630c137fc065465b"/>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 (JPEG)</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39"/>
    <w:bookmarkStart w:id="41" w:name="X2a6b810cb8858a63d7aed40fe7c4aec063b8b9b"/>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40">
        <w:r>
          <w:rPr>
            <w:rStyle w:val="Hyperlink"/>
          </w:rPr>
          <w:t xml:space="preserve">CAWG Metadata</w:t>
        </w:r>
      </w:hyperlink>
    </w:p>
    <w:p>
      <w:pPr>
        <w:numPr>
          <w:ilvl w:val="0"/>
          <w:numId w:val="1006"/>
        </w:numPr>
      </w:pPr>
      <w:r>
        <w:rPr>
          <w:b/>
          <w:bCs/>
        </w:rPr>
        <w:t xml:space="preserve">Status:</w:t>
      </w:r>
      <w:r>
        <w:t xml:space="preserve"> </w:t>
      </w:r>
      <w:r>
        <w:t xml:space="preserve">Published (new version in progress)</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41"/>
    <w:bookmarkStart w:id="43" w:name="X4139925f45bf95bff79f6a8eaffaa49017339f2"/>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42">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43"/>
    <w:bookmarkStart w:id="45" w:name="Xa78751b98656e1af1dda37063a4cba06c5cddfb"/>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44">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45"/>
    <w:bookmarkStart w:id="47" w:name="Xf9b22e6808e59f543fe38b9a5e8cb5d2e953e8e"/>
    <w:p>
      <w:pPr>
        <w:pStyle w:val="Heading2"/>
      </w:pPr>
      <w:r>
        <w:t xml:space="preserve">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46">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47"/>
    <w:bookmarkStart w:id="49" w:name="X2ef3c3682afbc97da86f328b7de8e8cf8e5cc53"/>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48">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Summary:</w:t>
      </w:r>
      <w:r>
        <w:t xml:space="preserve"> </w:t>
      </w:r>
      <w:r>
        <w:t xml:space="preserve">This framework provides guidelines for trust-based media services.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49"/>
    <w:bookmarkStart w:id="51" w:name="X38af9632c451a26b7b81644f299e3893003783b"/>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50">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51"/>
    <w:bookmarkStart w:id="53" w:name="X50725316ff2b56d952263a1f545f849c9c2247b"/>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52">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53"/>
    <w:bookmarkStart w:id="55" w:name="Xd8fb9f947c030415211f40992d74df88fdbcd66"/>
    <w:p>
      <w:pPr>
        <w:pStyle w:val="Heading2"/>
      </w:pPr>
      <w:r>
        <w:t xml:space="preserve">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54">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55"/>
    <w:bookmarkStart w:id="57" w:name="X58ec496d186e49dcf2f905eb58318b7c291ef7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56">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57"/>
    <w:bookmarkStart w:id="59" w:name="X56250e30f95fb12b2dd9e38e879a43aba7afc05"/>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58">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59"/>
    <w:bookmarkStart w:id="61" w:name="X4817431e268ee29dbbbea1bac5c36a7796ebc74"/>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60">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61"/>
    <w:bookmarkStart w:id="63" w:name="X4e807e221de1d574c81f5ef6f7bec05313ce820"/>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62">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63"/>
    <w:bookmarkStart w:id="65" w:name="Xa981790ae2c4232bce53fd578649eb8982d4f50"/>
    <w:p>
      <w:pPr>
        <w:pStyle w:val="Heading2"/>
      </w:pPr>
      <w:r>
        <w:t xml:space="preserve">Vocabulary for Expressing Content Preferences for AI</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64">
        <w:r>
          <w:rPr>
            <w:rStyle w:val="Hyperlink"/>
          </w:rPr>
          <w:t xml:space="preserve">draft-vaughan-aipref-vocab-00</w:t>
        </w:r>
      </w:hyperlink>
    </w:p>
    <w:p>
      <w:pPr>
        <w:numPr>
          <w:ilvl w:val="0"/>
          <w:numId w:val="1018"/>
        </w:numPr>
      </w:pPr>
      <w:r>
        <w:rPr>
          <w:b/>
          <w:bCs/>
        </w:rPr>
        <w:t xml:space="preserve">Status:</w:t>
      </w:r>
      <w:r>
        <w:t xml:space="preserve"> </w:t>
      </w:r>
      <w:r>
        <w:t xml:space="preserve">Withdrawn</w:t>
      </w:r>
    </w:p>
    <w:p>
      <w:pPr>
        <w:numPr>
          <w:ilvl w:val="0"/>
          <w:numId w:val="1018"/>
        </w:numPr>
      </w:pPr>
      <w:r>
        <w:rPr>
          <w:b/>
          <w:bCs/>
        </w:rPr>
        <w:t xml:space="preserve">Summary:</w:t>
      </w:r>
      <w:r>
        <w:t xml:space="preserve"> </w:t>
      </w:r>
      <w:r>
        <w:t xml:space="preserve">This draft offers a vocabulary for expressing content preferences for AI. It includes guidelines for creating and maintaining preference files, which can be used to document the preferences of digital assets. This helps in ensuring that content is used in accordance with the creator’s preferences.</w:t>
      </w:r>
    </w:p>
    <w:bookmarkEnd w:id="65"/>
    <w:bookmarkStart w:id="67" w:name="Xb2b4d78d430eeee375eb1484c0ecfbb7fda2a32"/>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66">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67"/>
    <w:bookmarkStart w:id="69" w:name="X7e9401857f9a1dc6df3dfd4b82955e41ece4652"/>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68">
        <w:r>
          <w:rPr>
            <w:rStyle w:val="Hyperlink"/>
          </w:rPr>
          <w:t xml:space="preserve">2413-PLEN</w:t>
        </w:r>
      </w:hyperlink>
    </w:p>
    <w:p>
      <w:pPr>
        <w:numPr>
          <w:ilvl w:val="0"/>
          <w:numId w:val="1020"/>
        </w:numPr>
      </w:pPr>
      <w:r>
        <w:rPr>
          <w:b/>
          <w:bCs/>
        </w:rPr>
        <w:t xml:space="preserve">Status:</w:t>
      </w:r>
      <w:r>
        <w:t xml:space="preserve"> </w:t>
      </w:r>
      <w:r>
        <w:t xml:space="preserve">Published</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69"/>
    <w:bookmarkStart w:id="71" w:name="X075a0df5ac69b848fcbac13439b7ae9d6867a4e"/>
    <w:p>
      <w:pPr>
        <w:pStyle w:val="Heading2"/>
      </w:pPr>
      <w:r>
        <w:t xml:space="preserve">Specification of Digital Rights Management (DRM) Technology for Digital Publications</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70">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71"/>
    <w:bookmarkStart w:id="73" w:name="X8bffb8dc88388056e1f9472ebe2e0134a3df05d"/>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72">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73"/>
    <w:bookmarkStart w:id="75" w:name="Xbcb8fd7abdc7dbbc922e97b8f2f0b2e42fabda0"/>
    <w:p>
      <w:pPr>
        <w:pStyle w:val="Heading2"/>
      </w:pPr>
      <w:r>
        <w:t xml:space="preserve">Evaluation Tools for Persistent Association Technologies</w:t>
      </w:r>
    </w:p>
    <w:p>
      <w:pPr>
        <w:numPr>
          <w:ilvl w:val="0"/>
          <w:numId w:val="1023"/>
        </w:numPr>
      </w:pPr>
      <w:r>
        <w:rPr>
          <w:b/>
          <w:bCs/>
        </w:rPr>
        <w:t xml:space="preserve">SDO/Group:</w:t>
      </w:r>
      <w:r>
        <w:t xml:space="preserve"> </w:t>
      </w:r>
      <w:r>
        <w:t xml:space="preserve">ISO/IEC JTC 1/SC 29/WG 11 (MPEG)</w:t>
      </w:r>
    </w:p>
    <w:p>
      <w:pPr>
        <w:numPr>
          <w:ilvl w:val="0"/>
          <w:numId w:val="1023"/>
        </w:numPr>
      </w:pPr>
      <w:r>
        <w:rPr>
          <w:b/>
          <w:bCs/>
        </w:rPr>
        <w:t xml:space="preserve">Link:</w:t>
      </w:r>
      <w:r>
        <w:t xml:space="preserve"> </w:t>
      </w:r>
      <w:hyperlink r:id="rId74">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75"/>
    <w:bookmarkStart w:id="77" w:name="Xddc85637bc0dce0b25e410438741ab47ff5fee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76">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77"/>
    <w:bookmarkEnd w:id="78"/>
    <w:bookmarkStart w:id="84" w:name="Xaa001a63acd0ff0a1e9bcd198b7f354a92f792e"/>
    <w:p>
      <w:pPr>
        <w:pStyle w:val="Heading1"/>
      </w:pPr>
      <w:r>
        <w:t xml:space="preserve">Standardization Map</w:t>
      </w:r>
    </w:p>
    <w:bookmarkStart w:id="79" w:name="X43f9398da9c2eb974194c1e60a2fdc80e1bfc87"/>
    <w:p>
      <w:pPr>
        <w:pStyle w:val="Heading2"/>
      </w:pPr>
      <w:r>
        <w:t xml:space="preserve">Overview</w:t>
      </w:r>
    </w:p>
    <w:p>
      <w:pPr>
        <w:pStyle w:val="TableCaption"/>
      </w:pPr>
      <w:r>
        <w:t xml:space="preserve">Table of Standard Categorization</w:t>
      </w:r>
    </w:p>
    <w:tbl>
      <w:tblPr>
        <w:tblStyle w:val="Table"/>
        <w:tblW w:type="pct" w:w="5000"/>
        <w:tblLayout w:type="fixed"/>
        <w:tblLook w:firstRow="1" w:lastRow="0" w:firstColumn="0" w:lastColumn="0" w:noHBand="0" w:noVBand="0" w:val="0020"/>
        <w:tblCaption w:val="Table of Standard Categorization"/>
      </w:tblPr>
      <w:tblGrid>
        <w:gridCol w:w="1319"/>
        <w:gridCol w:w="1319"/>
        <w:gridCol w:w="1319"/>
        <w:gridCol w:w="1319"/>
        <w:gridCol w:w="1319"/>
        <w:gridCol w:w="1320"/>
      </w:tblGrid>
      <w:tr>
        <w:trPr>
          <w:tblHeader w:val="on"/>
        </w:trPr>
        <w:tc>
          <w:tcPr/>
          <w:p>
            <w:pPr>
              <w:pStyle w:val="Compact"/>
              <w:jc w:val="left"/>
            </w:pPr>
            <w:r>
              <w:t xml:space="preserve">Specification</w:t>
            </w:r>
          </w:p>
        </w:tc>
        <w:tc>
          <w:tcPr/>
          <w:p>
            <w:pPr>
              <w:pStyle w:val="Compact"/>
              <w:jc w:val="left"/>
            </w:pPr>
            <w:r>
              <w:t xml:space="preserve">Content Provenance</w:t>
            </w:r>
          </w:p>
        </w:tc>
        <w:tc>
          <w:tcPr/>
          <w:p>
            <w:pPr>
              <w:pStyle w:val="Compact"/>
              <w:jc w:val="left"/>
            </w:pPr>
            <w:r>
              <w:t xml:space="preserve">Trust and Authenticity</w:t>
            </w:r>
          </w:p>
        </w:tc>
        <w:tc>
          <w:tcPr/>
          <w:p>
            <w:pPr>
              <w:pStyle w:val="Compact"/>
              <w:jc w:val="left"/>
            </w:pPr>
            <w:r>
              <w:t xml:space="preserve">Asset Identifiers</w:t>
            </w:r>
          </w:p>
        </w:tc>
        <w:tc>
          <w:tcPr/>
          <w:p>
            <w:pPr>
              <w:pStyle w:val="Compact"/>
              <w:jc w:val="left"/>
            </w:pPr>
            <w:r>
              <w:t xml:space="preserve">Rights Declarations</w:t>
            </w:r>
          </w:p>
        </w:tc>
        <w:tc>
          <w:tcPr/>
          <w:p>
            <w:pPr>
              <w:pStyle w:val="Compact"/>
              <w:jc w:val="left"/>
            </w:pPr>
            <w:r>
              <w:t xml:space="preserve">Watermarking</w:t>
            </w:r>
          </w:p>
        </w:tc>
      </w:tr>
      <w:tr>
        <w:tc>
          <w:tcPr/>
          <w:p>
            <w:pPr>
              <w:jc w:val="left"/>
            </w:pPr>
            <w:r>
              <w:t xml:space="preserve">Content Credentials (C2PA)</w:t>
            </w:r>
          </w:p>
        </w:tc>
        <w:tc>
          <w:tcPr/>
          <w:p>
            <w:pPr>
              <w:jc w:val="left"/>
            </w:pPr>
            <w:r>
              <w:t xml:space="preserve">x</w:t>
            </w: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Content Credentials (ISO 22144)</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1</w:t>
            </w:r>
          </w:p>
        </w:tc>
        <w:tc>
          <w:tcPr/>
          <w:p>
            <w:pPr>
              <w:jc w:val="left"/>
            </w:pPr>
            <w:r>
              <w:t xml:space="preserve">x</w:t>
            </w:r>
          </w:p>
        </w:tc>
        <w:tc>
          <w:tcPr/>
          <w:p>
            <w:pPr>
              <w:jc w:val="left"/>
            </w:pPr>
            <w:r>
              <w:t xml:space="preserve">x</w:t>
            </w:r>
          </w:p>
        </w:tc>
        <w:tc>
          <w:tcPr/>
          <w:p>
            <w:pPr>
              <w:jc w:val="left"/>
            </w:pPr>
            <w:r>
              <w:t xml:space="preserve">x</w:t>
            </w:r>
          </w:p>
        </w:tc>
        <w:tc>
          <w:tcPr/>
          <w:p>
            <w:pPr>
              <w:jc w:val="left"/>
            </w:pPr>
            <w:r>
              <w:t xml:space="preserve">x</w:t>
            </w:r>
          </w:p>
        </w:tc>
        <w:tc>
          <w:tcPr/>
          <w:p>
            <w:pPr>
              <w:pStyle w:val="Compact"/>
            </w:pPr>
          </w:p>
        </w:tc>
      </w:tr>
      <w:tr>
        <w:tc>
          <w:tcPr/>
          <w:p>
            <w:pPr>
              <w:jc w:val="left"/>
            </w:pPr>
            <w:r>
              <w:t xml:space="preserve">JPEG Trust Part 2</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3</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CAWG Metadata</w:t>
            </w:r>
          </w:p>
        </w:tc>
        <w:tc>
          <w:tcPr/>
          <w:p>
            <w:pPr>
              <w:jc w:val="left"/>
            </w:pPr>
            <w:r>
              <w:t xml:space="preserve">x</w:t>
            </w: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Originator Profile</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PROV</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H.MMAUTH: Framework for Authentication of Multimedia Content</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Overview of trustworthiness in artificial intelligence</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Framework for trust-based media services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Trust.txt</w:t>
            </w:r>
          </w:p>
        </w:tc>
        <w:tc>
          <w:tcPr/>
          <w:p>
            <w:pPr>
              <w:pStyle w:val="Compact"/>
            </w:pP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Chromium Reputation Provider Framework</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International Standard Content Code (ISCC)</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Unique Media Identifier (UMid)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TDM Reservation Protocol</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Spawning ai.txt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Robots.txt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Vocabulary for Expressing Content Preferences for AI</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Open Binding of Content Identifiers (OBID)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X.ig-dw: Implementation Guidelines for Digital Watermarking</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Specification of Digital Rights Management (DRM) Technology for Digital Publications</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A Review of Medical Image Watermarking Requirements for Teleradiology</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Evaluation Tools for Persistent Association Technologies</w:t>
            </w:r>
          </w:p>
        </w:tc>
        <w:tc>
          <w:tcPr/>
          <w:p>
            <w:pPr>
              <w:pStyle w:val="Compact"/>
            </w:pP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IEEE Draft Standard for Evaluation Method of Robustness of Digital Watermarking Implementation in Digital Contents</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bl>
    <w:bookmarkEnd w:id="79"/>
    <w:bookmarkStart w:id="83" w:name="X6967b010f3708e6a90d69321ff920490ee95806"/>
    <w:p>
      <w:pPr>
        <w:pStyle w:val="Heading2"/>
      </w:pPr>
      <w:r>
        <w:t xml:space="preserve">Graphical Representation</w:t>
      </w:r>
    </w:p>
    <w:p>
      <w:pPr>
        <w:pStyle w:val="Figure"/>
      </w:pPr>
      <w:r>
        <w:drawing>
          <wp:inline>
            <wp:extent cx="5334000" cy="2940849"/>
            <wp:effectExtent b="0" l="0" r="0" t="0"/>
            <wp:docPr descr="Standards Categorization" title="" id="81" name="Picture"/>
            <a:graphic>
              <a:graphicData uri="http://schemas.openxmlformats.org/drawingml/2006/picture">
                <pic:pic>
                  <pic:nvPicPr>
                    <pic:cNvPr descr="Standards%20Categorization.png" id="82" name="Picture"/>
                    <pic:cNvPicPr>
                      <a:picLocks noChangeArrowheads="1" noChangeAspect="1"/>
                    </pic:cNvPicPr>
                  </pic:nvPicPr>
                  <pic:blipFill>
                    <a:blip r:embed="rId80"/>
                    <a:stretch>
                      <a:fillRect/>
                    </a:stretch>
                  </pic:blipFill>
                  <pic:spPr bwMode="auto">
                    <a:xfrm>
                      <a:off x="0" y="0"/>
                      <a:ext cx="5334000" cy="2940849"/>
                    </a:xfrm>
                    <a:prstGeom prst="rect">
                      <a:avLst/>
                    </a:prstGeom>
                    <a:noFill/>
                    <a:ln w="9525">
                      <a:noFill/>
                      <a:headEnd/>
                      <a:tailEnd/>
                    </a:ln>
                  </pic:spPr>
                </pic:pic>
              </a:graphicData>
            </a:graphic>
          </wp:inline>
        </w:drawing>
      </w:r>
    </w:p>
    <w:bookmarkEnd w:id="83"/>
    <w:bookmarkEnd w:id="84"/>
    <w:bookmarkStart w:id="85" w:name="X64faff7e383d04341a4f234aa69d9e888d691f3"/>
    <w:p>
      <w:pPr>
        <w:pStyle w:val="Heading1"/>
      </w:pPr>
      <w:r>
        <w:t xml:space="preserve">Conclusion and next steps</w:t>
      </w:r>
    </w:p>
    <w:p>
      <w:pPr>
        <w:pStyle w:val="FirstParagraph"/>
      </w:pPr>
      <w:r>
        <w:t xml:space="preserve">TBD</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4" Target="https://datatracker.ietf.org/doc/draft-vaughan-aipref-vocab/"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4" Target="https://datatracker.ietf.org/doc/draft-vaughan-aipref-vocab/"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dcterms:created xsi:type="dcterms:W3CDTF">2025-04-29T01:10:37Z</dcterms:created>
  <dcterms:modified xsi:type="dcterms:W3CDTF">2025-04-29T01:10:37Z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2025-04-28</vt:lpwstr>
  </property>
  <property fmtid="{D5CDD505-2E9C-101B-9397-08002B2CF9AE}" pid="3" name="subtitle">
    <vt:lpwstr>Mapping the standardisation landscape</vt:lpwstr>
  </property>
</Properties>
</file>