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w:t>
      </w:r>
      <w:r>
        <w:t xml:space="preserve"> </w:t>
      </w:r>
      <w:r>
        <w:t xml:space="preserve">Any (but focused on images)</w:t>
      </w:r>
    </w:p>
    <w:p>
      <w:pPr>
        <w:numPr>
          <w:ilvl w:val="0"/>
          <w:numId w:val="1003"/>
        </w:numPr>
      </w:pPr>
      <w:r>
        <w:rPr>
          <w:b/>
          <w:bCs/>
        </w:rPr>
        <w:t xml:space="preserve">Summary:</w:t>
      </w:r>
      <w:r>
        <w:t xml:space="preserve"> </w:t>
      </w:r>
      <w:r>
        <w:t xml:space="preserve">This standard focuses on trust and authenticity in JPEG images through provenance, detection and fact-checking. It provides a framework for embedding metadata directly into JPEG files in the form of trust indicators. This allows users to decide the degree of trust they can put on a digital assets as a function of their trust profiles. This is particularly useful in contexts where image manipulation is common, such as in social media applications.</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 snippets that can be used either as is or as starting points to establish profiles for use in specific workflows, use cases and applications such as broadcasting, digital cameras, AI-powered content generation services, etc.</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originator-profile"/>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30">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31"/>
    <w:bookmarkStart w:id="33" w:name="prov"/>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32">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33"/>
    <w:bookmarkStart w:id="35" w:name="Xab531ba3ce6ef313e5646ef35c83cfefd67ecdf"/>
    <w:p>
      <w:pPr>
        <w:pStyle w:val="Heading2"/>
      </w:pPr>
      <w:r>
        <w:t xml:space="preserve">Information technology — Artificial intelligence — 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34">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35"/>
    <w:bookmarkStart w:id="37" w:name="framework-for-trust-based-media-services"/>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36">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w:t>
      </w:r>
      <w:r>
        <w:t xml:space="preserve"> </w:t>
      </w:r>
      <w:r>
        <w:t xml:space="preserve">n/a</w:t>
      </w:r>
    </w:p>
    <w:p>
      <w:pPr>
        <w:numPr>
          <w:ilvl w:val="0"/>
          <w:numId w:val="1010"/>
        </w:numPr>
      </w:pPr>
      <w:r>
        <w:rPr>
          <w:b/>
          <w:bCs/>
        </w:rPr>
        <w:t xml:space="preserve">Summary:</w:t>
      </w:r>
      <w:r>
        <w:t xml:space="preserve"> </w:t>
      </w:r>
      <w:r>
        <w:t xml:space="preserve">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37"/>
    <w:bookmarkStart w:id="39" w:name="trust.txt"/>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38">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39"/>
    <w:bookmarkStart w:id="41" w:name="chromium-reputation-provider-framework"/>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40">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41"/>
    <w:bookmarkStart w:id="43" w:name="Xdc939267402d8ae019bc86ae0e29f466d88d5d8"/>
    <w:p>
      <w:pPr>
        <w:pStyle w:val="Heading2"/>
      </w:pPr>
      <w:r>
        <w:t xml:space="preserve">ISCC: 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42">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43"/>
    <w:bookmarkStart w:id="45" w:name="unique-media-identifier-umi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44">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45"/>
    <w:bookmarkStart w:id="47" w:name="tdm-reservation-protocol"/>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46">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w:t>
      </w:r>
      <w:r>
        <w:t xml:space="preserve"> </w:t>
      </w:r>
      <w:r>
        <w:t xml:space="preserve">Web pages, EPUB,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47"/>
    <w:bookmarkStart w:id="49" w:name="spawning-ai.txt"/>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48">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49"/>
    <w:bookmarkStart w:id="51" w:name="robots.txt"/>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50">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51"/>
    <w:bookmarkStart w:id="53" w:name="X19e4faeae5636afcd512009a939271d4470642b"/>
    <w:p>
      <w:pPr>
        <w:pStyle w:val="Heading2"/>
      </w:pPr>
      <w:r>
        <w:t xml:space="preserve">Vocabulary for Expressing Content Preferences for AI Training</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52">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53"/>
    <w:bookmarkStart w:id="55" w:name="open-binding-of-content-identifiers-obid"/>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54">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55"/>
    <w:bookmarkStart w:id="57" w:name="X18b6925442e41f230aa14cf1c296086857fbb2f"/>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56">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w:t>
      </w:r>
      <w:r>
        <w:t xml:space="preserve"> </w:t>
      </w:r>
      <w:r>
        <w:t xml:space="preserve">Images, Videos</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57"/>
    <w:bookmarkStart w:id="59" w:name="Xa77454460d7513a9fecea15efbcc0a78b03a739"/>
    <w:p>
      <w:pPr>
        <w:pStyle w:val="Heading2"/>
      </w:pPr>
      <w:r>
        <w:t xml:space="preserve">Information technology — Specification of digital rights management (DRM) technology for digital publications</w:t>
      </w:r>
    </w:p>
    <w:p>
      <w:pPr>
        <w:pStyle w:val="FirstParagraph"/>
      </w:pPr>
      <w:r>
        <w:t xml:space="preserve">Part 1: Overview of copyright protection technologies in use in the publishing industry</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58">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w:t>
      </w:r>
      <w:r>
        <w:t xml:space="preserve"> </w:t>
      </w:r>
      <w:r>
        <w:t xml:space="preserve">EPUB,PDF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59"/>
    <w:bookmarkStart w:id="61" w:name="Xcdf9c9f7437ca51c72fa79e027b8f728758d944"/>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60">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61"/>
    <w:bookmarkStart w:id="63" w:name="X1f2fe83c29512bfba0cb03b6dc67b57b400226d"/>
    <w:p>
      <w:pPr>
        <w:pStyle w:val="Heading2"/>
      </w:pPr>
      <w:r>
        <w:t xml:space="preserve">Information technology — Multimedia framework (MPEG-21) — Part 11: Evaluation Tools for Persistent Association Technologies</w:t>
      </w:r>
    </w:p>
    <w:p>
      <w:pPr>
        <w:numPr>
          <w:ilvl w:val="0"/>
          <w:numId w:val="1023"/>
        </w:numPr>
      </w:pPr>
      <w:r>
        <w:rPr>
          <w:b/>
          <w:bCs/>
        </w:rPr>
        <w:t xml:space="preserve">SDO/Group:</w:t>
      </w:r>
      <w:r>
        <w:t xml:space="preserve"> </w:t>
      </w:r>
      <w:r>
        <w:t xml:space="preserve">ISO/IEC JTC 1/SC 29/WG 11</w:t>
      </w:r>
    </w:p>
    <w:p>
      <w:pPr>
        <w:numPr>
          <w:ilvl w:val="0"/>
          <w:numId w:val="1023"/>
        </w:numPr>
      </w:pPr>
      <w:r>
        <w:rPr>
          <w:b/>
          <w:bCs/>
        </w:rPr>
        <w:t xml:space="preserve">Link:</w:t>
      </w:r>
      <w:r>
        <w:t xml:space="preserve"> </w:t>
      </w:r>
      <w:hyperlink r:id="rId62">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w:t>
      </w:r>
      <w:r>
        <w:t xml:space="preserve"> </w:t>
      </w:r>
      <w:r>
        <w:t xml:space="preserve">Audio, 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63"/>
    <w:bookmarkStart w:id="65" w:name="X291edeb9c7315faebe95c366a195efc2c1b911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64">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65"/>
    <w:bookmarkStart w:id="67" w:name="Xd606bc97aa4a2e48390bda56aa16155e8c54aab"/>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66">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67"/>
    <w:bookmarkStart w:id="69" w:name="Xde607fde064f054356ce81b2272e81dd8bac260"/>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68">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w:t>
      </w:r>
      <w:r>
        <w:t xml:space="preserve"> </w:t>
      </w:r>
      <w:r>
        <w:t xml:space="preserve">Video</w:t>
      </w:r>
    </w:p>
    <w:p>
      <w:pPr>
        <w:numPr>
          <w:ilvl w:val="0"/>
          <w:numId w:val="1026"/>
        </w:numPr>
      </w:pPr>
      <w:r>
        <w:rPr>
          <w:b/>
          <w:bCs/>
        </w:rPr>
        <w:t xml:space="preserve">Summary:</w:t>
      </w:r>
      <w:r>
        <w:t xml:space="preserve"> </w:t>
      </w:r>
      <w:r>
        <w:t xml:space="preserve">This specification contains changes to the versatile supplemental enhancement information messages for coded video bitstreams (VSEI) standard to specify additional SEI messages that will be useful for the purposes of content provenance, trust and authenticity.</w:t>
      </w:r>
    </w:p>
    <w:bookmarkEnd w:id="69"/>
    <w:bookmarkStart w:id="71" w:name="X794a6d0610c198ce6510c92b4a34e573cf4397d"/>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70">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bookmarkEnd w:id="71"/>
    <w:bookmarkStart w:id="73" w:name="credible-web"/>
    <w:p>
      <w:pPr>
        <w:pStyle w:val="Heading2"/>
      </w:pPr>
      <w:r>
        <w:t xml:space="preserve">Credible Web</w:t>
      </w:r>
    </w:p>
    <w:p>
      <w:pPr>
        <w:numPr>
          <w:ilvl w:val="0"/>
          <w:numId w:val="1028"/>
        </w:numPr>
      </w:pPr>
      <w:r>
        <w:rPr>
          <w:b/>
          <w:bCs/>
        </w:rPr>
        <w:t xml:space="preserve">SDO/Group:</w:t>
      </w:r>
      <w:r>
        <w:t xml:space="preserve"> </w:t>
      </w:r>
      <w:r>
        <w:t xml:space="preserve">W3C</w:t>
      </w:r>
    </w:p>
    <w:p>
      <w:pPr>
        <w:numPr>
          <w:ilvl w:val="0"/>
          <w:numId w:val="1028"/>
        </w:numPr>
      </w:pPr>
      <w:r>
        <w:rPr>
          <w:b/>
          <w:bCs/>
        </w:rPr>
        <w:t xml:space="preserve">Link:</w:t>
      </w:r>
      <w:r>
        <w:t xml:space="preserve"> </w:t>
      </w:r>
      <w:hyperlink r:id="rId72">
        <w:r>
          <w:rPr>
            <w:rStyle w:val="Hyperlink"/>
          </w:rPr>
          <w:t xml:space="preserve">Cred Web</w:t>
        </w:r>
      </w:hyperlink>
    </w:p>
    <w:p>
      <w:pPr>
        <w:numPr>
          <w:ilvl w:val="0"/>
          <w:numId w:val="1028"/>
        </w:numPr>
      </w:pPr>
      <w:r>
        <w:rPr>
          <w:b/>
          <w:bCs/>
        </w:rPr>
        <w:t xml:space="preserve">Status:</w:t>
      </w:r>
      <w:r>
        <w:t xml:space="preserve"> </w:t>
      </w:r>
      <w:r>
        <w:t xml:space="preserve">In Progress</w:t>
      </w:r>
    </w:p>
    <w:p>
      <w:pPr>
        <w:numPr>
          <w:ilvl w:val="0"/>
          <w:numId w:val="1028"/>
        </w:numPr>
      </w:pPr>
      <w:r>
        <w:rPr>
          <w:b/>
          <w:bCs/>
        </w:rPr>
        <w:t xml:space="preserve">Media:</w:t>
      </w:r>
      <w:r>
        <w:t xml:space="preserve"> </w:t>
      </w:r>
      <w:r>
        <w:t xml:space="preserve">Web pages</w:t>
      </w:r>
    </w:p>
    <w:p>
      <w:pPr>
        <w:numPr>
          <w:ilvl w:val="0"/>
          <w:numId w:val="1028"/>
        </w:numPr>
      </w:pPr>
      <w:r>
        <w:rPr>
          <w:b/>
          <w:bCs/>
        </w:rPr>
        <w:t xml:space="preserve">Summary:</w:t>
      </w:r>
      <w:r>
        <w:t xml:space="preserve"> </w:t>
      </w:r>
      <w:r>
        <w:t xml:space="preserve">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bookmarkEnd w:id="73"/>
    <w:bookmarkStart w:id="75" w:name="Xc7d11d4e977022303fe4977f3b219dd4b48d411"/>
    <w:p>
      <w:pPr>
        <w:pStyle w:val="Heading2"/>
      </w:pPr>
      <w:r>
        <w:t xml:space="preserve">Technical and Governance Guidelines for Responsible Data Collection</w:t>
      </w:r>
    </w:p>
    <w:p>
      <w:pPr>
        <w:numPr>
          <w:ilvl w:val="0"/>
          <w:numId w:val="1029"/>
        </w:numPr>
      </w:pPr>
      <w:r>
        <w:rPr>
          <w:b/>
          <w:bCs/>
        </w:rPr>
        <w:t xml:space="preserve">SDO/Group:</w:t>
      </w:r>
      <w:r>
        <w:t xml:space="preserve"> </w:t>
      </w:r>
      <w:r>
        <w:t xml:space="preserve">Alliance for Responsible Data Collection (ARDC)</w:t>
      </w:r>
    </w:p>
    <w:p>
      <w:pPr>
        <w:numPr>
          <w:ilvl w:val="0"/>
          <w:numId w:val="1029"/>
        </w:numPr>
      </w:pPr>
      <w:r>
        <w:rPr>
          <w:b/>
          <w:bCs/>
        </w:rPr>
        <w:t xml:space="preserve">Link:</w:t>
      </w:r>
      <w:r>
        <w:t xml:space="preserve"> </w:t>
      </w:r>
      <w:hyperlink r:id="rId74">
        <w:r>
          <w:rPr>
            <w:rStyle w:val="Hyperlink"/>
          </w:rPr>
          <w:t xml:space="preserve">Technical and Governance Guidelines for Responsible Data Collection</w:t>
        </w:r>
      </w:hyperlink>
    </w:p>
    <w:p>
      <w:pPr>
        <w:numPr>
          <w:ilvl w:val="0"/>
          <w:numId w:val="1029"/>
        </w:numPr>
      </w:pPr>
      <w:r>
        <w:rPr>
          <w:b/>
          <w:bCs/>
        </w:rPr>
        <w:t xml:space="preserve">Status:</w:t>
      </w:r>
      <w:r>
        <w:t xml:space="preserve"> </w:t>
      </w:r>
      <w:r>
        <w:t xml:space="preserve">Published</w:t>
      </w:r>
    </w:p>
    <w:p>
      <w:pPr>
        <w:numPr>
          <w:ilvl w:val="0"/>
          <w:numId w:val="1029"/>
        </w:numPr>
      </w:pPr>
      <w:r>
        <w:rPr>
          <w:b/>
          <w:bCs/>
        </w:rPr>
        <w:t xml:space="preserve">Media:</w:t>
      </w:r>
      <w:r>
        <w:t xml:space="preserve"> </w:t>
      </w:r>
      <w:r>
        <w:t xml:space="preserve">Data</w:t>
      </w:r>
    </w:p>
    <w:p>
      <w:pPr>
        <w:numPr>
          <w:ilvl w:val="0"/>
          <w:numId w:val="1029"/>
        </w:numPr>
      </w:pPr>
      <w:r>
        <w:rPr>
          <w:b/>
          <w:bCs/>
        </w:rPr>
        <w:t xml:space="preserve">Summary:</w:t>
      </w:r>
      <w:r>
        <w:t xml:space="preserve"> </w:t>
      </w:r>
      <w:r>
        <w:t xml:space="preserve">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bookmarkEnd w:id="75"/>
    <w:bookmarkStart w:id="77" w:name="data-provenance-standards"/>
    <w:p>
      <w:pPr>
        <w:pStyle w:val="Heading2"/>
      </w:pPr>
      <w:r>
        <w:t xml:space="preserve">Data Provenance Standards</w:t>
      </w:r>
    </w:p>
    <w:p>
      <w:pPr>
        <w:numPr>
          <w:ilvl w:val="0"/>
          <w:numId w:val="1030"/>
        </w:numPr>
      </w:pPr>
      <w:r>
        <w:rPr>
          <w:b/>
          <w:bCs/>
        </w:rPr>
        <w:t xml:space="preserve">SDO/Group:</w:t>
      </w:r>
      <w:r>
        <w:t xml:space="preserve"> </w:t>
      </w:r>
      <w:r>
        <w:t xml:space="preserve">Data &amp; Trust Alliance</w:t>
      </w:r>
    </w:p>
    <w:p>
      <w:pPr>
        <w:numPr>
          <w:ilvl w:val="0"/>
          <w:numId w:val="1030"/>
        </w:numPr>
      </w:pPr>
      <w:r>
        <w:rPr>
          <w:b/>
          <w:bCs/>
        </w:rPr>
        <w:t xml:space="preserve">Link:</w:t>
      </w:r>
      <w:r>
        <w:t xml:space="preserve"> </w:t>
      </w:r>
      <w:hyperlink r:id="rId76">
        <w:r>
          <w:rPr>
            <w:rStyle w:val="Hyperlink"/>
          </w:rPr>
          <w:t xml:space="preserve">D&amp;TA Data Provenance Standards v1.0.0</w:t>
        </w:r>
      </w:hyperlink>
    </w:p>
    <w:p>
      <w:pPr>
        <w:numPr>
          <w:ilvl w:val="0"/>
          <w:numId w:val="1030"/>
        </w:numPr>
      </w:pPr>
      <w:r>
        <w:rPr>
          <w:b/>
          <w:bCs/>
        </w:rPr>
        <w:t xml:space="preserve">Status:</w:t>
      </w:r>
      <w:r>
        <w:t xml:space="preserve"> </w:t>
      </w:r>
      <w:r>
        <w:t xml:space="preserve">Published</w:t>
      </w:r>
    </w:p>
    <w:p>
      <w:pPr>
        <w:numPr>
          <w:ilvl w:val="0"/>
          <w:numId w:val="1030"/>
        </w:numPr>
      </w:pPr>
      <w:r>
        <w:rPr>
          <w:b/>
          <w:bCs/>
        </w:rPr>
        <w:t xml:space="preserve">Media:</w:t>
      </w:r>
      <w:r>
        <w:t xml:space="preserve"> </w:t>
      </w:r>
      <w:r>
        <w:t xml:space="preserve">Data</w:t>
      </w:r>
    </w:p>
    <w:p>
      <w:pPr>
        <w:numPr>
          <w:ilvl w:val="0"/>
          <w:numId w:val="1030"/>
        </w:numPr>
      </w:pPr>
      <w:r>
        <w:rPr>
          <w:b/>
          <w:bCs/>
        </w:rPr>
        <w:t xml:space="preserve">Summary:</w:t>
      </w:r>
      <w:r>
        <w:t xml:space="preserve"> </w:t>
      </w:r>
      <w:r>
        <w:t xml:space="preserve">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bookmarkEnd w:id="77"/>
    <w:bookmarkStart w:id="79" w:name="X26f69f4e1036a0837bb3f4e77a853bcd9c6efc2"/>
    <w:p>
      <w:pPr>
        <w:pStyle w:val="Heading2"/>
      </w:pPr>
      <w:r>
        <w:t xml:space="preserve">2024—IEEE Draft Standard for Transparent Human and Machine Agency Identification</w:t>
      </w:r>
    </w:p>
    <w:p>
      <w:pPr>
        <w:numPr>
          <w:ilvl w:val="0"/>
          <w:numId w:val="1031"/>
        </w:numPr>
      </w:pPr>
      <w:r>
        <w:rPr>
          <w:b/>
          <w:bCs/>
        </w:rPr>
        <w:t xml:space="preserve">SDO/Group:</w:t>
      </w:r>
      <w:r>
        <w:t xml:space="preserve"> </w:t>
      </w:r>
      <w:r>
        <w:t xml:space="preserve">IEEE</w:t>
      </w:r>
    </w:p>
    <w:p>
      <w:pPr>
        <w:numPr>
          <w:ilvl w:val="0"/>
          <w:numId w:val="1031"/>
        </w:numPr>
      </w:pPr>
      <w:r>
        <w:rPr>
          <w:b/>
          <w:bCs/>
        </w:rPr>
        <w:t xml:space="preserve">Link:</w:t>
      </w:r>
      <w:r>
        <w:t xml:space="preserve"> </w:t>
      </w:r>
      <w:hyperlink r:id="rId78">
        <w:r>
          <w:rPr>
            <w:rStyle w:val="Hyperlink"/>
          </w:rPr>
          <w:t xml:space="preserve">IEEE P3152/D4</w:t>
        </w:r>
      </w:hyperlink>
    </w:p>
    <w:p>
      <w:pPr>
        <w:numPr>
          <w:ilvl w:val="0"/>
          <w:numId w:val="1031"/>
        </w:numPr>
      </w:pPr>
      <w:r>
        <w:rPr>
          <w:b/>
          <w:bCs/>
        </w:rPr>
        <w:t xml:space="preserve">Status:</w:t>
      </w:r>
      <w:r>
        <w:t xml:space="preserve"> </w:t>
      </w:r>
      <w:r>
        <w:t xml:space="preserve">Published</w:t>
      </w:r>
    </w:p>
    <w:p>
      <w:pPr>
        <w:numPr>
          <w:ilvl w:val="0"/>
          <w:numId w:val="1031"/>
        </w:numPr>
      </w:pPr>
      <w:r>
        <w:rPr>
          <w:b/>
          <w:bCs/>
        </w:rPr>
        <w:t xml:space="preserve">Media:</w:t>
      </w:r>
      <w:r>
        <w:t xml:space="preserve"> </w:t>
      </w:r>
      <w:r>
        <w:t xml:space="preserve">Images, Audio</w:t>
      </w:r>
    </w:p>
    <w:p>
      <w:pPr>
        <w:numPr>
          <w:ilvl w:val="0"/>
          <w:numId w:val="1031"/>
        </w:numPr>
      </w:pPr>
      <w:r>
        <w:rPr>
          <w:b/>
          <w:bCs/>
        </w:rPr>
        <w:t xml:space="preserve">Summary:</w:t>
      </w:r>
      <w:r>
        <w:t xml:space="preserve"> </w:t>
      </w:r>
      <w:r>
        <w:t xml:space="preserve">This standard addresses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bookmarkEnd w:id="79"/>
    <w:bookmarkStart w:id="81" w:name="iptc-photo-metadata-standard"/>
    <w:p>
      <w:pPr>
        <w:pStyle w:val="Heading2"/>
      </w:pPr>
      <w:r>
        <w:t xml:space="preserve">IPTC Photo Metadata Standard</w:t>
      </w:r>
    </w:p>
    <w:p>
      <w:pPr>
        <w:numPr>
          <w:ilvl w:val="0"/>
          <w:numId w:val="1032"/>
        </w:numPr>
      </w:pPr>
      <w:r>
        <w:rPr>
          <w:b/>
          <w:bCs/>
        </w:rPr>
        <w:t xml:space="preserve">SDO/Group:</w:t>
      </w:r>
      <w:r>
        <w:t xml:space="preserve"> </w:t>
      </w:r>
      <w:r>
        <w:t xml:space="preserve">IPTC</w:t>
      </w:r>
    </w:p>
    <w:p>
      <w:pPr>
        <w:numPr>
          <w:ilvl w:val="0"/>
          <w:numId w:val="1032"/>
        </w:numPr>
      </w:pPr>
      <w:r>
        <w:rPr>
          <w:b/>
          <w:bCs/>
        </w:rPr>
        <w:t xml:space="preserve">Link:</w:t>
      </w:r>
      <w:r>
        <w:t xml:space="preserve"> </w:t>
      </w:r>
      <w:hyperlink r:id="rId80">
        <w:r>
          <w:rPr>
            <w:rStyle w:val="Hyperlink"/>
          </w:rPr>
          <w:t xml:space="preserve">IPTC Photo Metadata Standard 2024.1</w:t>
        </w:r>
      </w:hyperlink>
    </w:p>
    <w:p>
      <w:pPr>
        <w:numPr>
          <w:ilvl w:val="0"/>
          <w:numId w:val="1032"/>
        </w:numPr>
      </w:pPr>
      <w:r>
        <w:rPr>
          <w:b/>
          <w:bCs/>
        </w:rPr>
        <w:t xml:space="preserve">Status:</w:t>
      </w:r>
      <w:r>
        <w:t xml:space="preserve"> </w:t>
      </w:r>
      <w:r>
        <w:t xml:space="preserve">Published</w:t>
      </w:r>
    </w:p>
    <w:p>
      <w:pPr>
        <w:numPr>
          <w:ilvl w:val="0"/>
          <w:numId w:val="1032"/>
        </w:numPr>
      </w:pPr>
      <w:r>
        <w:rPr>
          <w:b/>
          <w:bCs/>
        </w:rPr>
        <w:t xml:space="preserve">Media:</w:t>
      </w:r>
      <w:r>
        <w:t xml:space="preserve"> </w:t>
      </w:r>
      <w:r>
        <w:t xml:space="preserve">Images, Video</w:t>
      </w:r>
    </w:p>
    <w:p>
      <w:pPr>
        <w:numPr>
          <w:ilvl w:val="0"/>
          <w:numId w:val="1032"/>
        </w:numPr>
      </w:pPr>
      <w:r>
        <w:rPr>
          <w:b/>
          <w:bCs/>
        </w:rPr>
        <w:t xml:space="preserve">Summary:</w:t>
      </w:r>
      <w:r>
        <w:t xml:space="preserve"> </w:t>
      </w:r>
      <w:r>
        <w:t xml:space="preserve">This document specifies metadata properties with a focus on usage with photos, some of these properties are also specified by the IPTC Video Metadata Hub.</w:t>
      </w:r>
    </w:p>
    <w:bookmarkEnd w:id="81"/>
    <w:bookmarkStart w:id="83" w:name="X628cd5b2f78381cf8ac5a444a95855c26d1356d"/>
    <w:p>
      <w:pPr>
        <w:pStyle w:val="Heading2"/>
      </w:pPr>
      <w:r>
        <w:t xml:space="preserve">Dynamic Adaptive Streaming over HTTP (DASH) Part 4: Segment Encryption and Authentication</w:t>
      </w:r>
    </w:p>
    <w:p>
      <w:pPr>
        <w:numPr>
          <w:ilvl w:val="0"/>
          <w:numId w:val="1033"/>
        </w:numPr>
      </w:pPr>
      <w:r>
        <w:rPr>
          <w:b/>
          <w:bCs/>
        </w:rPr>
        <w:t xml:space="preserve">SDO/Group:</w:t>
      </w:r>
      <w:r>
        <w:t xml:space="preserve"> </w:t>
      </w:r>
      <w:r>
        <w:t xml:space="preserve">ISO/IEC JTC 1/SC 29</w:t>
      </w:r>
    </w:p>
    <w:p>
      <w:pPr>
        <w:numPr>
          <w:ilvl w:val="0"/>
          <w:numId w:val="1033"/>
        </w:numPr>
      </w:pPr>
      <w:r>
        <w:rPr>
          <w:b/>
          <w:bCs/>
        </w:rPr>
        <w:t xml:space="preserve">Link:</w:t>
      </w:r>
      <w:r>
        <w:t xml:space="preserve"> </w:t>
      </w:r>
      <w:hyperlink r:id="rId82">
        <w:r>
          <w:rPr>
            <w:rStyle w:val="Hyperlink"/>
          </w:rPr>
          <w:t xml:space="preserve">DASH</w:t>
        </w:r>
      </w:hyperlink>
    </w:p>
    <w:p>
      <w:pPr>
        <w:numPr>
          <w:ilvl w:val="0"/>
          <w:numId w:val="1033"/>
        </w:numPr>
      </w:pPr>
      <w:r>
        <w:rPr>
          <w:b/>
          <w:bCs/>
        </w:rPr>
        <w:t xml:space="preserve">Status:</w:t>
      </w:r>
      <w:r>
        <w:t xml:space="preserve"> </w:t>
      </w:r>
      <w:r>
        <w:t xml:space="preserve">Published</w:t>
      </w:r>
    </w:p>
    <w:p>
      <w:pPr>
        <w:numPr>
          <w:ilvl w:val="0"/>
          <w:numId w:val="1033"/>
        </w:numPr>
      </w:pPr>
      <w:r>
        <w:rPr>
          <w:b/>
          <w:bCs/>
        </w:rPr>
        <w:t xml:space="preserve">Media:</w:t>
      </w:r>
      <w:r>
        <w:t xml:space="preserve"> </w:t>
      </w:r>
      <w:r>
        <w:t xml:space="preserve">Video</w:t>
      </w:r>
    </w:p>
    <w:p>
      <w:pPr>
        <w:numPr>
          <w:ilvl w:val="0"/>
          <w:numId w:val="1033"/>
        </w:numPr>
      </w:pPr>
      <w:r>
        <w:rPr>
          <w:b/>
          <w:bCs/>
        </w:rPr>
        <w:t xml:space="preserve">Summary:</w:t>
      </w:r>
      <w:r>
        <w:t xml:space="preserve"> </w:t>
      </w:r>
      <w:r>
        <w:t xml:space="preserve">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bookmarkEnd w:id="83"/>
    <w:bookmarkStart w:id="85" w:name="X716117395678257dc22d773d322766e83a62e89"/>
    <w:p>
      <w:pPr>
        <w:pStyle w:val="Heading2"/>
      </w:pPr>
      <w:r>
        <w:t xml:space="preserve">Recommended Practices for Levels of Artificial Intelligence Generated Content Technologies</w:t>
      </w:r>
    </w:p>
    <w:p>
      <w:pPr>
        <w:numPr>
          <w:ilvl w:val="0"/>
          <w:numId w:val="1034"/>
        </w:numPr>
      </w:pPr>
      <w:r>
        <w:rPr>
          <w:b/>
          <w:bCs/>
        </w:rPr>
        <w:t xml:space="preserve">SDO/Group:</w:t>
      </w:r>
      <w:r>
        <w:t xml:space="preserve"> </w:t>
      </w:r>
      <w:r>
        <w:t xml:space="preserve">IEEE SA</w:t>
      </w:r>
    </w:p>
    <w:p>
      <w:pPr>
        <w:numPr>
          <w:ilvl w:val="0"/>
          <w:numId w:val="1034"/>
        </w:numPr>
      </w:pPr>
      <w:r>
        <w:rPr>
          <w:b/>
          <w:bCs/>
        </w:rPr>
        <w:t xml:space="preserve">Link:</w:t>
      </w:r>
      <w:r>
        <w:t xml:space="preserve"> </w:t>
      </w:r>
      <w:hyperlink r:id="rId84">
        <w:r>
          <w:rPr>
            <w:rStyle w:val="Hyperlink"/>
          </w:rPr>
          <w:t xml:space="preserve">Recommended Practices for Levels of Artificial Intelligence Generated Content Technologies</w:t>
        </w:r>
      </w:hyperlink>
    </w:p>
    <w:p>
      <w:pPr>
        <w:numPr>
          <w:ilvl w:val="0"/>
          <w:numId w:val="1034"/>
        </w:numPr>
      </w:pPr>
      <w:r>
        <w:rPr>
          <w:b/>
          <w:bCs/>
        </w:rPr>
        <w:t xml:space="preserve">Status:</w:t>
      </w:r>
      <w:r>
        <w:t xml:space="preserve"> </w:t>
      </w:r>
      <w:r>
        <w:t xml:space="preserve">Published</w:t>
      </w:r>
    </w:p>
    <w:p>
      <w:pPr>
        <w:numPr>
          <w:ilvl w:val="0"/>
          <w:numId w:val="1034"/>
        </w:numPr>
      </w:pPr>
      <w:r>
        <w:rPr>
          <w:b/>
          <w:bCs/>
        </w:rPr>
        <w:t xml:space="preserve">Media:</w:t>
      </w:r>
      <w:r>
        <w:t xml:space="preserve"> </w:t>
      </w:r>
      <w:r>
        <w:t xml:space="preserve">Any</w:t>
      </w:r>
    </w:p>
    <w:p>
      <w:pPr>
        <w:numPr>
          <w:ilvl w:val="0"/>
          <w:numId w:val="1034"/>
        </w:numPr>
      </w:pPr>
      <w:r>
        <w:rPr>
          <w:b/>
          <w:bCs/>
        </w:rPr>
        <w:t xml:space="preserve">Summary:</w:t>
      </w:r>
      <w:r>
        <w:t xml:space="preserve"> </w:t>
      </w:r>
      <w:r>
        <w:t xml:space="preserve">This recommended practice offers a structured framework for understanding and classifying Artificial Intelligence Generated Content (AIGC). It defines rules and levels of AIGC technologies, outlines recommended practices for their implementation, and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2025-05-20T21:06:11Z</dcterms:created>
  <dcterms:modified xsi:type="dcterms:W3CDTF">2025-05-20T21:06:11Z</dcterms:modified>
</cp:coreProperties>
</file>

<file path=docProps/custom.xml><?xml version="1.0" encoding="utf-8"?>
<Properties xmlns="http://schemas.openxmlformats.org/officeDocument/2006/custom-properties" xmlns:vt="http://schemas.openxmlformats.org/officeDocument/2006/docPropsVTypes"/>
</file>