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w:t>
      </w:r>
      <w:r>
        <w:t xml:space="preserve"> </w:t>
      </w:r>
      <w:r>
        <w:t xml:space="preserve">Any (but focused on images)</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ab531ba3ce6ef313e5646ef35c83cfefd67ecdf"/>
    <w:p>
      <w:pPr>
        <w:pStyle w:val="Heading2"/>
      </w:pPr>
      <w:r>
        <w:t xml:space="preserve">Information technology — Artificial intelligence — 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w:t>
      </w:r>
      <w:r>
        <w:t xml:space="preserve"> </w:t>
      </w:r>
      <w:r>
        <w:t xml:space="preserve">n/a</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w:t>
      </w:r>
      <w:r>
        <w:t xml:space="preserve"> </w:t>
      </w:r>
      <w:r>
        <w:t xml:space="preserve">Images, Videos</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a77454460d7513a9fecea15efbcc0a78b03a739"/>
    <w:p>
      <w:pPr>
        <w:pStyle w:val="Heading2"/>
      </w:pPr>
      <w:r>
        <w:t xml:space="preserve">Information technology — Specification of digital rights management (DRM) technology for digital publications</w:t>
      </w:r>
    </w:p>
    <w:p>
      <w:pPr>
        <w:pStyle w:val="FirstParagraph"/>
      </w:pPr>
      <w:r>
        <w:t xml:space="preserve">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w:t>
      </w:r>
      <w:r>
        <w:t xml:space="preserve"> </w:t>
      </w:r>
      <w:r>
        <w:t xml:space="preserve">EPUB,PDF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1f2fe83c29512bfba0cb03b6dc67b57b400226d"/>
    <w:p>
      <w:pPr>
        <w:pStyle w:val="Heading2"/>
      </w:pPr>
      <w:r>
        <w:t xml:space="preserve">Information technology — Multimedia framework (MPEG-21)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the draft text for changes to the versatile supplemental enhancement information messages for coded video bitstreams (VSEI) standard (Rec. ITU-T H.274 | ISO/IEC 23002-7), to specify additional SEI messages, including encoder optimization information, source picture timing information,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Assessment categories cover the detection of various forms of intra-frame and inter-frame manipulation, as well as the overall performance of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26f69f4e1036a0837bb3f4e77a853bcd9c6efc2"/>
    <w:p>
      <w:pPr>
        <w:pStyle w:val="Heading2"/>
      </w:pPr>
      <w:r>
        <w:t xml:space="preserve">2024—IEEE Draft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P3152/D4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62" Target="https://www.iso.org/standard/40487.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62" Target="https://www.iso.org/standard/40487.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2025-05-18T20:43:43Z</dcterms:created>
  <dcterms:modified xsi:type="dcterms:W3CDTF">2025-05-18T20:43:43Z</dcterms:modified>
</cp:coreProperties>
</file>

<file path=docProps/custom.xml><?xml version="1.0" encoding="utf-8"?>
<Properties xmlns="http://schemas.openxmlformats.org/officeDocument/2006/custom-properties" xmlns:vt="http://schemas.openxmlformats.org/officeDocument/2006/docPropsVTypes"/>
</file>