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ntent-credentials"/>
    <w:p>
      <w:pPr>
        <w:pStyle w:val="Heading2"/>
      </w:pPr>
      <w:r>
        <w:t xml:space="preserve">Content Credentials</w:t>
      </w:r>
    </w:p>
    <w:p>
      <w:pPr>
        <w:numPr>
          <w:ilvl w:val="0"/>
          <w:numId w:val="1001"/>
        </w:numPr>
      </w:pPr>
      <w:r>
        <w:rPr>
          <w:b/>
          <w:bCs/>
        </w:rPr>
        <w:t xml:space="preserve">SDO/Group:</w:t>
      </w:r>
      <w:r>
        <w:t xml:space="preserve"> </w:t>
      </w:r>
      <w:r>
        <w:t xml:space="preserve">C2PA</w:t>
      </w:r>
    </w:p>
    <w:p>
      <w:pPr>
        <w:numPr>
          <w:ilvl w:val="0"/>
          <w:numId w:val="1001"/>
        </w:numPr>
      </w:pPr>
      <w:r>
        <w:rPr>
          <w:b/>
          <w:bCs/>
        </w:rPr>
        <w:t xml:space="preserve">Link:</w:t>
      </w:r>
      <w:r>
        <w:t xml:space="preserve"> </w:t>
      </w:r>
      <w:hyperlink r:id="rId20">
        <w:r>
          <w:rPr>
            <w:rStyle w:val="Hyperlink"/>
          </w:rPr>
          <w:t xml:space="preserve">C2PA Specification</w:t>
        </w:r>
      </w:hyperlink>
    </w:p>
    <w:p>
      <w:pPr>
        <w:numPr>
          <w:ilvl w:val="0"/>
          <w:numId w:val="1001"/>
        </w:numPr>
      </w:pPr>
      <w:r>
        <w:rPr>
          <w:b/>
          <w:bCs/>
        </w:rPr>
        <w:t xml:space="preserve">Status:</w:t>
      </w:r>
      <w:r>
        <w:t xml:space="preserve"> </w:t>
      </w:r>
      <w:r>
        <w:t xml:space="preserve">Published</w:t>
      </w:r>
    </w:p>
    <w:p>
      <w:pPr>
        <w:numPr>
          <w:ilvl w:val="0"/>
          <w:numId w:val="1001"/>
        </w:numPr>
      </w:pPr>
      <w:r>
        <w:rPr>
          <w:b/>
          <w:bCs/>
        </w:rPr>
        <w:t xml:space="preserve">Media:</w:t>
      </w:r>
      <w:r>
        <w:t xml:space="preserve"> </w:t>
      </w:r>
      <w:r>
        <w:t xml:space="preserve">Any</w:t>
      </w:r>
    </w:p>
    <w:p>
      <w:pPr>
        <w:numPr>
          <w:ilvl w:val="0"/>
          <w:numId w:val="1001"/>
        </w:numPr>
      </w:pPr>
      <w:r>
        <w:rPr>
          <w:b/>
          <w:bCs/>
        </w:rPr>
        <w:t xml:space="preserve">Summary:</w:t>
      </w:r>
      <w:r>
        <w:t xml:space="preserve"> </w:t>
      </w:r>
      <w:r>
        <w:t xml:space="preserve">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bookmarkEnd w:id="21"/>
    <w:bookmarkStart w:id="23" w:name="content-credentials-1"/>
    <w:p>
      <w:pPr>
        <w:pStyle w:val="Heading2"/>
      </w:pPr>
      <w:r>
        <w:t xml:space="preserve">Content Credentials</w:t>
      </w:r>
    </w:p>
    <w:p>
      <w:pPr>
        <w:numPr>
          <w:ilvl w:val="0"/>
          <w:numId w:val="1002"/>
        </w:numPr>
      </w:pPr>
      <w:r>
        <w:rPr>
          <w:b/>
          <w:bCs/>
        </w:rPr>
        <w:t xml:space="preserve">SDO/Group:</w:t>
      </w:r>
      <w:r>
        <w:t xml:space="preserve"> </w:t>
      </w:r>
      <w:r>
        <w:t xml:space="preserve">ISO TC 171/SC 2</w:t>
      </w:r>
    </w:p>
    <w:p>
      <w:pPr>
        <w:numPr>
          <w:ilvl w:val="0"/>
          <w:numId w:val="1002"/>
        </w:numPr>
      </w:pPr>
      <w:r>
        <w:rPr>
          <w:b/>
          <w:bCs/>
        </w:rPr>
        <w:t xml:space="preserve">Link:</w:t>
      </w:r>
      <w:r>
        <w:t xml:space="preserve"> </w:t>
      </w:r>
      <w:hyperlink r:id="rId22">
        <w:r>
          <w:rPr>
            <w:rStyle w:val="Hyperlink"/>
          </w:rPr>
          <w:t xml:space="preserve">ISO 22144</w:t>
        </w:r>
      </w:hyperlink>
    </w:p>
    <w:p>
      <w:pPr>
        <w:numPr>
          <w:ilvl w:val="0"/>
          <w:numId w:val="1002"/>
        </w:numPr>
      </w:pPr>
      <w:r>
        <w:rPr>
          <w:b/>
          <w:bCs/>
        </w:rPr>
        <w:t xml:space="preserve">Status:</w:t>
      </w:r>
      <w:r>
        <w:t xml:space="preserve"> </w:t>
      </w:r>
      <w:r>
        <w:t xml:space="preserve">In progress</w:t>
      </w:r>
    </w:p>
    <w:p>
      <w:pPr>
        <w:numPr>
          <w:ilvl w:val="0"/>
          <w:numId w:val="1002"/>
        </w:numPr>
      </w:pPr>
      <w:r>
        <w:rPr>
          <w:b/>
          <w:bCs/>
        </w:rPr>
        <w:t xml:space="preserve">Media:</w:t>
      </w:r>
      <w:r>
        <w:t xml:space="preserve"> </w:t>
      </w:r>
      <w:r>
        <w:t xml:space="preserve">Any</w:t>
      </w:r>
    </w:p>
    <w:p>
      <w:pPr>
        <w:numPr>
          <w:ilvl w:val="0"/>
          <w:numId w:val="1002"/>
        </w:numPr>
      </w:pPr>
      <w:r>
        <w:rPr>
          <w:b/>
          <w:bCs/>
        </w:rPr>
        <w:t xml:space="preserve">Summary:</w:t>
      </w:r>
      <w:r>
        <w:t xml:space="preserve"> </w:t>
      </w:r>
      <w:r>
        <w:t xml:space="preserve">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traceable and its authenticity can be verified.</w:t>
      </w:r>
    </w:p>
    <w:bookmarkEnd w:id="23"/>
    <w:bookmarkStart w:id="25" w:name="jpeg-trust-part-1-core-foundation"/>
    <w:p>
      <w:pPr>
        <w:pStyle w:val="Heading2"/>
      </w:pPr>
      <w:r>
        <w:t xml:space="preserve">JPEG Trust Part 1: Core foundation</w:t>
      </w:r>
    </w:p>
    <w:p>
      <w:pPr>
        <w:numPr>
          <w:ilvl w:val="0"/>
          <w:numId w:val="1003"/>
        </w:numPr>
      </w:pPr>
      <w:r>
        <w:rPr>
          <w:b/>
          <w:bCs/>
        </w:rPr>
        <w:t xml:space="preserve">SDO/Group:</w:t>
      </w:r>
      <w:r>
        <w:t xml:space="preserve"> </w:t>
      </w:r>
      <w:r>
        <w:t xml:space="preserve">ISO/IEC JTC 1/SC 29/WG 1</w:t>
      </w:r>
    </w:p>
    <w:p>
      <w:pPr>
        <w:numPr>
          <w:ilvl w:val="0"/>
          <w:numId w:val="1003"/>
        </w:numPr>
      </w:pPr>
      <w:r>
        <w:rPr>
          <w:b/>
          <w:bCs/>
        </w:rPr>
        <w:t xml:space="preserve">Link:</w:t>
      </w:r>
      <w:r>
        <w:t xml:space="preserve"> </w:t>
      </w:r>
      <w:hyperlink r:id="rId24">
        <w:r>
          <w:rPr>
            <w:rStyle w:val="Hyperlink"/>
          </w:rPr>
          <w:t xml:space="preserve">ISO 21617-1:2025, second edition in progress</w:t>
        </w:r>
      </w:hyperlink>
    </w:p>
    <w:p>
      <w:pPr>
        <w:numPr>
          <w:ilvl w:val="0"/>
          <w:numId w:val="1003"/>
        </w:numPr>
      </w:pPr>
      <w:r>
        <w:rPr>
          <w:b/>
          <w:bCs/>
        </w:rPr>
        <w:t xml:space="preserve">Status:</w:t>
      </w:r>
      <w:r>
        <w:t xml:space="preserve"> </w:t>
      </w:r>
      <w:r>
        <w:t xml:space="preserve">Published</w:t>
      </w:r>
    </w:p>
    <w:p>
      <w:pPr>
        <w:numPr>
          <w:ilvl w:val="0"/>
          <w:numId w:val="1003"/>
        </w:numPr>
      </w:pPr>
      <w:r>
        <w:rPr>
          <w:b/>
          <w:bCs/>
        </w:rPr>
        <w:t xml:space="preserve">Media:</w:t>
      </w:r>
      <w:r>
        <w:t xml:space="preserve"> </w:t>
      </w:r>
      <w:r>
        <w:t xml:space="preserve">Any (but focused on images)</w:t>
      </w:r>
    </w:p>
    <w:p>
      <w:pPr>
        <w:numPr>
          <w:ilvl w:val="0"/>
          <w:numId w:val="1003"/>
        </w:numPr>
      </w:pPr>
      <w:r>
        <w:rPr>
          <w:b/>
          <w:bCs/>
        </w:rPr>
        <w:t xml:space="preserve">Summary:</w:t>
      </w:r>
      <w:r>
        <w:t xml:space="preserve"> </w:t>
      </w:r>
      <w:r>
        <w:t xml:space="preserve">This standard focuses on trust and authenticity in JPEG images through provenance, detection and fact-checking. It provides a framework for embedding metadata directly into JPEG files in the form of trust indicators. This allows users to decide the degree of trust they can put on a digital assets as a function of their trust profiles. This is particularly useful in contexts where image manipulation is common, such as in social media applications.</w:t>
      </w:r>
    </w:p>
    <w:bookmarkEnd w:id="25"/>
    <w:bookmarkStart w:id="26" w:name="jpeg-trust-part-2-trust-profiles-catalog"/>
    <w:p>
      <w:pPr>
        <w:pStyle w:val="Heading2"/>
      </w:pPr>
      <w:r>
        <w:t xml:space="preserve">JPEG Trust Part 2: Trust profiles catalog</w:t>
      </w:r>
    </w:p>
    <w:p>
      <w:pPr>
        <w:numPr>
          <w:ilvl w:val="0"/>
          <w:numId w:val="1004"/>
        </w:numPr>
      </w:pPr>
      <w:r>
        <w:rPr>
          <w:b/>
          <w:bCs/>
        </w:rPr>
        <w:t xml:space="preserve">SDO/Group:</w:t>
      </w:r>
      <w:r>
        <w:t xml:space="preserve"> </w:t>
      </w:r>
      <w:r>
        <w:t xml:space="preserve">ISO/IEC JTC 1/SC 29/WG 1</w:t>
      </w:r>
    </w:p>
    <w:p>
      <w:pPr>
        <w:numPr>
          <w:ilvl w:val="0"/>
          <w:numId w:val="1004"/>
        </w:numPr>
      </w:pPr>
      <w:r>
        <w:rPr>
          <w:b/>
          <w:bCs/>
        </w:rPr>
        <w:t xml:space="preserve">Status:</w:t>
      </w:r>
      <w:r>
        <w:t xml:space="preserve"> </w:t>
      </w:r>
      <w:r>
        <w:t xml:space="preserve">In Progress</w:t>
      </w:r>
    </w:p>
    <w:p>
      <w:pPr>
        <w:numPr>
          <w:ilvl w:val="0"/>
          <w:numId w:val="1004"/>
        </w:numPr>
      </w:pPr>
      <w:r>
        <w:rPr>
          <w:b/>
          <w:bCs/>
        </w:rPr>
        <w:t xml:space="preserve">Media:</w:t>
      </w:r>
      <w:r>
        <w:t xml:space="preserve"> </w:t>
      </w:r>
      <w:r>
        <w:t xml:space="preserve">Any (but focused on images)</w:t>
      </w:r>
    </w:p>
    <w:p>
      <w:pPr>
        <w:numPr>
          <w:ilvl w:val="0"/>
          <w:numId w:val="1004"/>
        </w:numPr>
      </w:pPr>
      <w:r>
        <w:rPr>
          <w:b/>
          <w:bCs/>
        </w:rPr>
        <w:t xml:space="preserve">Summary:</w:t>
      </w:r>
      <w:r>
        <w:t xml:space="preserve"> </w:t>
      </w:r>
      <w:r>
        <w:t xml:space="preserve">This standard introduces a series of trust profile snippets that can be used either as is or as starting points to establish profiles for use in specific workflows, use cases and applications such as broadcasting, digital cameras, AI-powered content generation services, etc.</w:t>
      </w:r>
    </w:p>
    <w:bookmarkEnd w:id="26"/>
    <w:bookmarkStart w:id="27" w:name="X08652c6321f03cbf84e4fe25a03e53740725bc4"/>
    <w:p>
      <w:pPr>
        <w:pStyle w:val="Heading2"/>
      </w:pPr>
      <w:r>
        <w:t xml:space="preserve">JPEG Trust Part 3: Media asset watermarking</w:t>
      </w:r>
    </w:p>
    <w:p>
      <w:pPr>
        <w:numPr>
          <w:ilvl w:val="0"/>
          <w:numId w:val="1005"/>
        </w:numPr>
      </w:pPr>
      <w:r>
        <w:rPr>
          <w:b/>
          <w:bCs/>
        </w:rPr>
        <w:t xml:space="preserve">SDO/Group:</w:t>
      </w:r>
      <w:r>
        <w:t xml:space="preserve"> </w:t>
      </w:r>
      <w:r>
        <w:t xml:space="preserve">ISO/IEC JTC 1/SC 29/WG 1</w:t>
      </w:r>
    </w:p>
    <w:p>
      <w:pPr>
        <w:numPr>
          <w:ilvl w:val="0"/>
          <w:numId w:val="1005"/>
        </w:numPr>
      </w:pPr>
      <w:r>
        <w:rPr>
          <w:b/>
          <w:bCs/>
        </w:rPr>
        <w:t xml:space="preserve">Status:</w:t>
      </w:r>
      <w:r>
        <w:t xml:space="preserve"> </w:t>
      </w:r>
      <w:r>
        <w:t xml:space="preserve">Initiated</w:t>
      </w:r>
    </w:p>
    <w:p>
      <w:pPr>
        <w:numPr>
          <w:ilvl w:val="0"/>
          <w:numId w:val="1005"/>
        </w:numPr>
      </w:pPr>
      <w:r>
        <w:rPr>
          <w:b/>
          <w:bCs/>
        </w:rPr>
        <w:t xml:space="preserve">Media:</w:t>
      </w:r>
      <w:r>
        <w:t xml:space="preserve"> </w:t>
      </w:r>
      <w:r>
        <w:t xml:space="preserve">Images</w:t>
      </w:r>
    </w:p>
    <w:p>
      <w:pPr>
        <w:numPr>
          <w:ilvl w:val="0"/>
          <w:numId w:val="1005"/>
        </w:numPr>
      </w:pPr>
      <w:r>
        <w:rPr>
          <w:b/>
          <w:bCs/>
        </w:rPr>
        <w:t xml:space="preserve">Summary:</w:t>
      </w:r>
      <w:r>
        <w:t xml:space="preserve"> </w:t>
      </w:r>
      <w:r>
        <w:t xml:space="preserve">This standard is planned to provide an overview of mechanisms used for watermarking of media assets.</w:t>
      </w:r>
    </w:p>
    <w:bookmarkEnd w:id="27"/>
    <w:bookmarkStart w:id="29" w:name="cawg-metadata"/>
    <w:p>
      <w:pPr>
        <w:pStyle w:val="Heading2"/>
      </w:pPr>
      <w:r>
        <w:t xml:space="preserve">CAWG Metadata</w:t>
      </w:r>
    </w:p>
    <w:p>
      <w:pPr>
        <w:numPr>
          <w:ilvl w:val="0"/>
          <w:numId w:val="1006"/>
        </w:numPr>
      </w:pPr>
      <w:r>
        <w:rPr>
          <w:b/>
          <w:bCs/>
        </w:rPr>
        <w:t xml:space="preserve">SDO/Group:</w:t>
      </w:r>
      <w:r>
        <w:t xml:space="preserve"> </w:t>
      </w:r>
      <w:r>
        <w:t xml:space="preserve">Creation Assertions Working Group, as part of DIF</w:t>
      </w:r>
    </w:p>
    <w:p>
      <w:pPr>
        <w:numPr>
          <w:ilvl w:val="0"/>
          <w:numId w:val="1006"/>
        </w:numPr>
      </w:pPr>
      <w:r>
        <w:rPr>
          <w:b/>
          <w:bCs/>
        </w:rPr>
        <w:t xml:space="preserve">Link:</w:t>
      </w:r>
      <w:r>
        <w:t xml:space="preserve"> </w:t>
      </w:r>
      <w:hyperlink r:id="rId28">
        <w:r>
          <w:rPr>
            <w:rStyle w:val="Hyperlink"/>
          </w:rPr>
          <w:t xml:space="preserve">CAWG Metadata</w:t>
        </w:r>
      </w:hyperlink>
    </w:p>
    <w:p>
      <w:pPr>
        <w:numPr>
          <w:ilvl w:val="0"/>
          <w:numId w:val="1006"/>
        </w:numPr>
      </w:pPr>
      <w:r>
        <w:rPr>
          <w:b/>
          <w:bCs/>
        </w:rPr>
        <w:t xml:space="preserve">Status:</w:t>
      </w:r>
      <w:r>
        <w:t xml:space="preserve"> </w:t>
      </w:r>
      <w:r>
        <w:t xml:space="preserve">Published</w:t>
      </w:r>
    </w:p>
    <w:p>
      <w:pPr>
        <w:numPr>
          <w:ilvl w:val="0"/>
          <w:numId w:val="1006"/>
        </w:numPr>
      </w:pPr>
      <w:r>
        <w:rPr>
          <w:b/>
          <w:bCs/>
        </w:rPr>
        <w:t xml:space="preserve">Media:</w:t>
      </w:r>
      <w:r>
        <w:t xml:space="preserve"> </w:t>
      </w:r>
      <w:r>
        <w:t xml:space="preserve">Any</w:t>
      </w:r>
    </w:p>
    <w:p>
      <w:pPr>
        <w:numPr>
          <w:ilvl w:val="0"/>
          <w:numId w:val="1006"/>
        </w:numPr>
      </w:pPr>
      <w:r>
        <w:rPr>
          <w:b/>
          <w:bCs/>
        </w:rPr>
        <w:t xml:space="preserve">Summary:</w:t>
      </w:r>
      <w:r>
        <w:t xml:space="preserve"> </w:t>
      </w:r>
      <w:r>
        <w:t xml:space="preserve">This specification provides a framework for expressing metadata that captures detailed information about the content, including ownership and authorship.</w:t>
      </w:r>
    </w:p>
    <w:bookmarkEnd w:id="29"/>
    <w:bookmarkStart w:id="31" w:name="originator-profile"/>
    <w:p>
      <w:pPr>
        <w:pStyle w:val="Heading2"/>
      </w:pPr>
      <w:r>
        <w:t xml:space="preserve">Originator Profile</w:t>
      </w:r>
    </w:p>
    <w:p>
      <w:pPr>
        <w:numPr>
          <w:ilvl w:val="0"/>
          <w:numId w:val="1007"/>
        </w:numPr>
      </w:pPr>
      <w:r>
        <w:rPr>
          <w:b/>
          <w:bCs/>
        </w:rPr>
        <w:t xml:space="preserve">SDO/Group:</w:t>
      </w:r>
      <w:r>
        <w:t xml:space="preserve"> </w:t>
      </w:r>
      <w:r>
        <w:t xml:space="preserve">Originator Profile</w:t>
      </w:r>
    </w:p>
    <w:p>
      <w:pPr>
        <w:numPr>
          <w:ilvl w:val="0"/>
          <w:numId w:val="1007"/>
        </w:numPr>
      </w:pPr>
      <w:r>
        <w:rPr>
          <w:b/>
          <w:bCs/>
        </w:rPr>
        <w:t xml:space="preserve">Link:</w:t>
      </w:r>
      <w:r>
        <w:t xml:space="preserve"> </w:t>
      </w:r>
      <w:hyperlink r:id="rId30">
        <w:r>
          <w:rPr>
            <w:rStyle w:val="Hyperlink"/>
          </w:rPr>
          <w:t xml:space="preserve">Originator Profile</w:t>
        </w:r>
      </w:hyperlink>
    </w:p>
    <w:p>
      <w:pPr>
        <w:numPr>
          <w:ilvl w:val="0"/>
          <w:numId w:val="1007"/>
        </w:numPr>
      </w:pPr>
      <w:r>
        <w:rPr>
          <w:b/>
          <w:bCs/>
        </w:rPr>
        <w:t xml:space="preserve">Status:</w:t>
      </w:r>
      <w:r>
        <w:t xml:space="preserve"> </w:t>
      </w:r>
      <w:r>
        <w:t xml:space="preserve">In progress</w:t>
      </w:r>
    </w:p>
    <w:p>
      <w:pPr>
        <w:numPr>
          <w:ilvl w:val="0"/>
          <w:numId w:val="1007"/>
        </w:numPr>
      </w:pPr>
      <w:r>
        <w:rPr>
          <w:b/>
          <w:bCs/>
        </w:rPr>
        <w:t xml:space="preserve">Media:</w:t>
      </w:r>
      <w:r>
        <w:t xml:space="preserve"> </w:t>
      </w:r>
      <w:r>
        <w:t xml:space="preserve">Web pages</w:t>
      </w:r>
    </w:p>
    <w:p>
      <w:pPr>
        <w:numPr>
          <w:ilvl w:val="0"/>
          <w:numId w:val="1007"/>
        </w:numPr>
      </w:pPr>
      <w:r>
        <w:rPr>
          <w:b/>
          <w:bCs/>
        </w:rPr>
        <w:t xml:space="preserve">Summary:</w:t>
      </w:r>
      <w:r>
        <w:t xml:space="preserve"> </w:t>
      </w:r>
      <w:r>
        <w:t xml:space="preserve">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bookmarkEnd w:id="31"/>
    <w:bookmarkStart w:id="33" w:name="prov"/>
    <w:p>
      <w:pPr>
        <w:pStyle w:val="Heading2"/>
      </w:pPr>
      <w:r>
        <w:t xml:space="preserve">PROV</w:t>
      </w:r>
    </w:p>
    <w:p>
      <w:pPr>
        <w:numPr>
          <w:ilvl w:val="0"/>
          <w:numId w:val="1008"/>
        </w:numPr>
      </w:pPr>
      <w:r>
        <w:rPr>
          <w:b/>
          <w:bCs/>
        </w:rPr>
        <w:t xml:space="preserve">SDO/Group:</w:t>
      </w:r>
      <w:r>
        <w:t xml:space="preserve"> </w:t>
      </w:r>
      <w:r>
        <w:t xml:space="preserve">Open Provenance</w:t>
      </w:r>
    </w:p>
    <w:p>
      <w:pPr>
        <w:numPr>
          <w:ilvl w:val="0"/>
          <w:numId w:val="1008"/>
        </w:numPr>
      </w:pPr>
      <w:r>
        <w:rPr>
          <w:b/>
          <w:bCs/>
        </w:rPr>
        <w:t xml:space="preserve">Link:</w:t>
      </w:r>
      <w:r>
        <w:t xml:space="preserve"> </w:t>
      </w:r>
      <w:hyperlink r:id="rId32">
        <w:r>
          <w:rPr>
            <w:rStyle w:val="Hyperlink"/>
          </w:rPr>
          <w:t xml:space="preserve">PROV</w:t>
        </w:r>
      </w:hyperlink>
    </w:p>
    <w:p>
      <w:pPr>
        <w:numPr>
          <w:ilvl w:val="0"/>
          <w:numId w:val="1008"/>
        </w:numPr>
      </w:pPr>
      <w:r>
        <w:rPr>
          <w:b/>
          <w:bCs/>
        </w:rPr>
        <w:t xml:space="preserve">Status:</w:t>
      </w:r>
      <w:r>
        <w:t xml:space="preserve"> </w:t>
      </w:r>
      <w:r>
        <w:t xml:space="preserve">Published</w:t>
      </w:r>
    </w:p>
    <w:p>
      <w:pPr>
        <w:numPr>
          <w:ilvl w:val="0"/>
          <w:numId w:val="1008"/>
        </w:numPr>
      </w:pPr>
      <w:r>
        <w:rPr>
          <w:b/>
          <w:bCs/>
        </w:rPr>
        <w:t xml:space="preserve">Media:</w:t>
      </w:r>
      <w:r>
        <w:t xml:space="preserve"> </w:t>
      </w:r>
      <w:r>
        <w:t xml:space="preserve">Any</w:t>
      </w:r>
    </w:p>
    <w:p>
      <w:pPr>
        <w:numPr>
          <w:ilvl w:val="0"/>
          <w:numId w:val="1008"/>
        </w:numPr>
      </w:pPr>
      <w:r>
        <w:rPr>
          <w:b/>
          <w:bCs/>
        </w:rPr>
        <w:t xml:space="preserve">Summary:</w:t>
      </w:r>
      <w:r>
        <w:t xml:space="preserve"> </w:t>
      </w:r>
      <w:r>
        <w:t xml:space="preserve">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bookmarkEnd w:id="33"/>
    <w:bookmarkStart w:id="35" w:name="Xab531ba3ce6ef313e5646ef35c83cfefd67ecdf"/>
    <w:p>
      <w:pPr>
        <w:pStyle w:val="Heading2"/>
      </w:pPr>
      <w:r>
        <w:t xml:space="preserve">Information technology — Artificial intelligence — Overview of trustworthiness in artificial intelligence</w:t>
      </w:r>
    </w:p>
    <w:p>
      <w:pPr>
        <w:numPr>
          <w:ilvl w:val="0"/>
          <w:numId w:val="1009"/>
        </w:numPr>
      </w:pPr>
      <w:r>
        <w:rPr>
          <w:b/>
          <w:bCs/>
        </w:rPr>
        <w:t xml:space="preserve">SDO/Group:</w:t>
      </w:r>
      <w:r>
        <w:t xml:space="preserve"> </w:t>
      </w:r>
      <w:r>
        <w:t xml:space="preserve">ISO/IEC JTC 1/SC 42</w:t>
      </w:r>
    </w:p>
    <w:p>
      <w:pPr>
        <w:numPr>
          <w:ilvl w:val="0"/>
          <w:numId w:val="1009"/>
        </w:numPr>
      </w:pPr>
      <w:r>
        <w:rPr>
          <w:b/>
          <w:bCs/>
        </w:rPr>
        <w:t xml:space="preserve">Link:</w:t>
      </w:r>
      <w:r>
        <w:t xml:space="preserve"> </w:t>
      </w:r>
      <w:hyperlink r:id="rId34">
        <w:r>
          <w:rPr>
            <w:rStyle w:val="Hyperlink"/>
          </w:rPr>
          <w:t xml:space="preserve">ISO/IEC TR 24028:2020</w:t>
        </w:r>
      </w:hyperlink>
    </w:p>
    <w:p>
      <w:pPr>
        <w:numPr>
          <w:ilvl w:val="0"/>
          <w:numId w:val="1009"/>
        </w:numPr>
      </w:pPr>
      <w:r>
        <w:rPr>
          <w:b/>
          <w:bCs/>
        </w:rPr>
        <w:t xml:space="preserve">Status:</w:t>
      </w:r>
      <w:r>
        <w:t xml:space="preserve"> </w:t>
      </w:r>
      <w:r>
        <w:t xml:space="preserve">Published</w:t>
      </w:r>
    </w:p>
    <w:p>
      <w:pPr>
        <w:numPr>
          <w:ilvl w:val="0"/>
          <w:numId w:val="1009"/>
        </w:numPr>
      </w:pPr>
      <w:r>
        <w:rPr>
          <w:b/>
          <w:bCs/>
        </w:rPr>
        <w:t xml:space="preserve">Media:</w:t>
      </w:r>
      <w:r>
        <w:t xml:space="preserve"> </w:t>
      </w:r>
      <w:r>
        <w:t xml:space="preserve">n/a</w:t>
      </w:r>
    </w:p>
    <w:p>
      <w:pPr>
        <w:numPr>
          <w:ilvl w:val="0"/>
          <w:numId w:val="1009"/>
        </w:numPr>
      </w:pPr>
      <w:r>
        <w:rPr>
          <w:b/>
          <w:bCs/>
        </w:rPr>
        <w:t xml:space="preserve">Summary:</w:t>
      </w:r>
      <w:r>
        <w:t xml:space="preserve"> </w:t>
      </w:r>
      <w:r>
        <w:t xml:space="preserve">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bookmarkEnd w:id="35"/>
    <w:bookmarkStart w:id="37" w:name="framework-for-trust-based-media-services"/>
    <w:p>
      <w:pPr>
        <w:pStyle w:val="Heading2"/>
      </w:pPr>
      <w:r>
        <w:t xml:space="preserve">Framework for trust-based media services</w:t>
      </w:r>
    </w:p>
    <w:p>
      <w:pPr>
        <w:numPr>
          <w:ilvl w:val="0"/>
          <w:numId w:val="1010"/>
        </w:numPr>
      </w:pPr>
      <w:r>
        <w:rPr>
          <w:b/>
          <w:bCs/>
        </w:rPr>
        <w:t xml:space="preserve">SDO/Group:</w:t>
      </w:r>
      <w:r>
        <w:t xml:space="preserve"> </w:t>
      </w:r>
      <w:r>
        <w:t xml:space="preserve">ITU-T</w:t>
      </w:r>
    </w:p>
    <w:p>
      <w:pPr>
        <w:numPr>
          <w:ilvl w:val="0"/>
          <w:numId w:val="1010"/>
        </w:numPr>
      </w:pPr>
      <w:r>
        <w:rPr>
          <w:b/>
          <w:bCs/>
        </w:rPr>
        <w:t xml:space="preserve">Link:</w:t>
      </w:r>
      <w:r>
        <w:t xml:space="preserve"> </w:t>
      </w:r>
      <w:hyperlink r:id="rId36">
        <w:r>
          <w:rPr>
            <w:rStyle w:val="Hyperlink"/>
          </w:rPr>
          <w:t xml:space="preserve">ITU-T Y.3054</w:t>
        </w:r>
      </w:hyperlink>
    </w:p>
    <w:p>
      <w:pPr>
        <w:numPr>
          <w:ilvl w:val="0"/>
          <w:numId w:val="1010"/>
        </w:numPr>
      </w:pPr>
      <w:r>
        <w:rPr>
          <w:b/>
          <w:bCs/>
        </w:rPr>
        <w:t xml:space="preserve">Status:</w:t>
      </w:r>
      <w:r>
        <w:t xml:space="preserve"> </w:t>
      </w:r>
      <w:r>
        <w:t xml:space="preserve">Published</w:t>
      </w:r>
    </w:p>
    <w:p>
      <w:pPr>
        <w:numPr>
          <w:ilvl w:val="0"/>
          <w:numId w:val="1010"/>
        </w:numPr>
      </w:pPr>
      <w:r>
        <w:rPr>
          <w:b/>
          <w:bCs/>
        </w:rPr>
        <w:t xml:space="preserve">Media:</w:t>
      </w:r>
      <w:r>
        <w:t xml:space="preserve"> </w:t>
      </w:r>
      <w:r>
        <w:t xml:space="preserve">n/a</w:t>
      </w:r>
    </w:p>
    <w:p>
      <w:pPr>
        <w:numPr>
          <w:ilvl w:val="0"/>
          <w:numId w:val="1010"/>
        </w:numPr>
      </w:pPr>
      <w:r>
        <w:rPr>
          <w:b/>
          <w:bCs/>
        </w:rPr>
        <w:t xml:space="preserve">Summary:</w:t>
      </w:r>
      <w:r>
        <w:t xml:space="preserve"> </w:t>
      </w:r>
      <w:r>
        <w:t xml:space="preserve">is framework provides guidelines for trust-based media services. In particular, it includes methods for establishing and maintaining trust in digital media platforms, ensuring that users can rely on the content they access. This is particularly important in contexts where media services are used to distribute sensitive or high-value content.</w:t>
      </w:r>
    </w:p>
    <w:bookmarkEnd w:id="37"/>
    <w:bookmarkStart w:id="39" w:name="trust.txt"/>
    <w:p>
      <w:pPr>
        <w:pStyle w:val="Heading2"/>
      </w:pPr>
      <w:r>
        <w:t xml:space="preserve">Trust.txt</w:t>
      </w:r>
    </w:p>
    <w:p>
      <w:pPr>
        <w:numPr>
          <w:ilvl w:val="0"/>
          <w:numId w:val="1011"/>
        </w:numPr>
      </w:pPr>
      <w:r>
        <w:rPr>
          <w:b/>
          <w:bCs/>
        </w:rPr>
        <w:t xml:space="preserve">SDO/Group:</w:t>
      </w:r>
      <w:r>
        <w:t xml:space="preserve"> </w:t>
      </w:r>
      <w:r>
        <w:t xml:space="preserve">JournalList</w:t>
      </w:r>
    </w:p>
    <w:p>
      <w:pPr>
        <w:numPr>
          <w:ilvl w:val="0"/>
          <w:numId w:val="1011"/>
        </w:numPr>
      </w:pPr>
      <w:r>
        <w:rPr>
          <w:b/>
          <w:bCs/>
        </w:rPr>
        <w:t xml:space="preserve">Link:</w:t>
      </w:r>
      <w:r>
        <w:t xml:space="preserve"> </w:t>
      </w:r>
      <w:hyperlink r:id="rId38">
        <w:r>
          <w:rPr>
            <w:rStyle w:val="Hyperlink"/>
          </w:rPr>
          <w:t xml:space="preserve">Trust.txt</w:t>
        </w:r>
      </w:hyperlink>
    </w:p>
    <w:p>
      <w:pPr>
        <w:numPr>
          <w:ilvl w:val="0"/>
          <w:numId w:val="1011"/>
        </w:numPr>
      </w:pPr>
      <w:r>
        <w:rPr>
          <w:b/>
          <w:bCs/>
        </w:rPr>
        <w:t xml:space="preserve">Status:</w:t>
      </w:r>
      <w:r>
        <w:t xml:space="preserve"> </w:t>
      </w:r>
      <w:r>
        <w:t xml:space="preserve">Initiated</w:t>
      </w:r>
    </w:p>
    <w:p>
      <w:pPr>
        <w:numPr>
          <w:ilvl w:val="0"/>
          <w:numId w:val="1011"/>
        </w:numPr>
      </w:pPr>
      <w:r>
        <w:rPr>
          <w:b/>
          <w:bCs/>
        </w:rPr>
        <w:t xml:space="preserve">Media:</w:t>
      </w:r>
      <w:r>
        <w:t xml:space="preserve"> </w:t>
      </w:r>
      <w:r>
        <w:t xml:space="preserve">Web pages</w:t>
      </w:r>
    </w:p>
    <w:p>
      <w:pPr>
        <w:numPr>
          <w:ilvl w:val="0"/>
          <w:numId w:val="1011"/>
        </w:numPr>
      </w:pPr>
      <w:r>
        <w:rPr>
          <w:b/>
          <w:bCs/>
        </w:rPr>
        <w:t xml:space="preserve">Summary:</w:t>
      </w:r>
      <w:r>
        <w:t xml:space="preserve"> </w:t>
      </w:r>
      <w:r>
        <w:t xml:space="preserve">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bookmarkEnd w:id="39"/>
    <w:bookmarkStart w:id="41" w:name="chromium-reputation-provider-framework"/>
    <w:p>
      <w:pPr>
        <w:pStyle w:val="Heading2"/>
      </w:pPr>
      <w:r>
        <w:t xml:space="preserve">Chromium Reputation Provider Framework</w:t>
      </w:r>
    </w:p>
    <w:p>
      <w:pPr>
        <w:numPr>
          <w:ilvl w:val="0"/>
          <w:numId w:val="1012"/>
        </w:numPr>
      </w:pPr>
      <w:r>
        <w:rPr>
          <w:b/>
          <w:bCs/>
        </w:rPr>
        <w:t xml:space="preserve">SDO/Group:</w:t>
      </w:r>
      <w:r>
        <w:t xml:space="preserve"> </w:t>
      </w:r>
      <w:r>
        <w:t xml:space="preserve">Google’s Chrome Team</w:t>
      </w:r>
    </w:p>
    <w:p>
      <w:pPr>
        <w:numPr>
          <w:ilvl w:val="0"/>
          <w:numId w:val="1012"/>
        </w:numPr>
      </w:pPr>
      <w:r>
        <w:rPr>
          <w:b/>
          <w:bCs/>
        </w:rPr>
        <w:t xml:space="preserve">Link:</w:t>
      </w:r>
      <w:r>
        <w:t xml:space="preserve"> </w:t>
      </w:r>
      <w:hyperlink r:id="rId40">
        <w:r>
          <w:rPr>
            <w:rStyle w:val="Hyperlink"/>
          </w:rPr>
          <w:t xml:space="preserve">Chromium Reputation Provider Framework</w:t>
        </w:r>
      </w:hyperlink>
    </w:p>
    <w:p>
      <w:pPr>
        <w:numPr>
          <w:ilvl w:val="0"/>
          <w:numId w:val="1012"/>
        </w:numPr>
      </w:pPr>
      <w:r>
        <w:rPr>
          <w:b/>
          <w:bCs/>
        </w:rPr>
        <w:t xml:space="preserve">Status:</w:t>
      </w:r>
      <w:r>
        <w:t xml:space="preserve"> </w:t>
      </w:r>
      <w:r>
        <w:t xml:space="preserve">Initiated</w:t>
      </w:r>
    </w:p>
    <w:p>
      <w:pPr>
        <w:numPr>
          <w:ilvl w:val="0"/>
          <w:numId w:val="1012"/>
        </w:numPr>
      </w:pPr>
      <w:r>
        <w:rPr>
          <w:b/>
          <w:bCs/>
        </w:rPr>
        <w:t xml:space="preserve">Media:</w:t>
      </w:r>
      <w:r>
        <w:t xml:space="preserve"> </w:t>
      </w:r>
      <w:r>
        <w:t xml:space="preserve">Web pages</w:t>
      </w:r>
    </w:p>
    <w:p>
      <w:pPr>
        <w:numPr>
          <w:ilvl w:val="0"/>
          <w:numId w:val="1012"/>
        </w:numPr>
      </w:pPr>
      <w:r>
        <w:rPr>
          <w:b/>
          <w:bCs/>
        </w:rPr>
        <w:t xml:space="preserve">Summary:</w:t>
      </w:r>
      <w:r>
        <w:t xml:space="preserve"> </w:t>
      </w:r>
      <w:r>
        <w:t xml:space="preserve">This framework provides guidelines for reputation management of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bookmarkEnd w:id="41"/>
    <w:bookmarkStart w:id="43" w:name="Xdc939267402d8ae019bc86ae0e29f466d88d5d8"/>
    <w:p>
      <w:pPr>
        <w:pStyle w:val="Heading2"/>
      </w:pPr>
      <w:r>
        <w:t xml:space="preserve">ISCC: International Standard Content Code (ISCC)</w:t>
      </w:r>
    </w:p>
    <w:p>
      <w:pPr>
        <w:numPr>
          <w:ilvl w:val="0"/>
          <w:numId w:val="1013"/>
        </w:numPr>
      </w:pPr>
      <w:r>
        <w:rPr>
          <w:b/>
          <w:bCs/>
        </w:rPr>
        <w:t xml:space="preserve">SDO/Group:</w:t>
      </w:r>
      <w:r>
        <w:t xml:space="preserve"> </w:t>
      </w:r>
      <w:r>
        <w:t xml:space="preserve">ISO/TC 46/SC 9</w:t>
      </w:r>
    </w:p>
    <w:p>
      <w:pPr>
        <w:numPr>
          <w:ilvl w:val="0"/>
          <w:numId w:val="1013"/>
        </w:numPr>
      </w:pPr>
      <w:r>
        <w:rPr>
          <w:b/>
          <w:bCs/>
        </w:rPr>
        <w:t xml:space="preserve">Link:</w:t>
      </w:r>
      <w:r>
        <w:t xml:space="preserve"> </w:t>
      </w:r>
      <w:hyperlink r:id="rId42">
        <w:r>
          <w:rPr>
            <w:rStyle w:val="Hyperlink"/>
          </w:rPr>
          <w:t xml:space="preserve">ISO 24138</w:t>
        </w:r>
      </w:hyperlink>
    </w:p>
    <w:p>
      <w:pPr>
        <w:numPr>
          <w:ilvl w:val="0"/>
          <w:numId w:val="1013"/>
        </w:numPr>
      </w:pPr>
      <w:r>
        <w:rPr>
          <w:b/>
          <w:bCs/>
        </w:rPr>
        <w:t xml:space="preserve">Status:</w:t>
      </w:r>
      <w:r>
        <w:t xml:space="preserve"> </w:t>
      </w:r>
      <w:r>
        <w:t xml:space="preserve">Published</w:t>
      </w:r>
    </w:p>
    <w:p>
      <w:pPr>
        <w:numPr>
          <w:ilvl w:val="0"/>
          <w:numId w:val="1013"/>
        </w:numPr>
      </w:pPr>
      <w:r>
        <w:rPr>
          <w:b/>
          <w:bCs/>
        </w:rPr>
        <w:t xml:space="preserve">Media:</w:t>
      </w:r>
      <w:r>
        <w:t xml:space="preserve"> </w:t>
      </w:r>
      <w:r>
        <w:t xml:space="preserve">Any</w:t>
      </w:r>
    </w:p>
    <w:p>
      <w:pPr>
        <w:numPr>
          <w:ilvl w:val="0"/>
          <w:numId w:val="1013"/>
        </w:numPr>
      </w:pPr>
      <w:r>
        <w:rPr>
          <w:b/>
          <w:bCs/>
        </w:rPr>
        <w:t xml:space="preserve">Summary:</w:t>
      </w:r>
      <w:r>
        <w:t xml:space="preserve"> </w:t>
      </w:r>
      <w:r>
        <w:t xml:space="preserve">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bookmarkEnd w:id="43"/>
    <w:bookmarkStart w:id="45" w:name="unique-media-identifier-umid"/>
    <w:p>
      <w:pPr>
        <w:pStyle w:val="Heading2"/>
      </w:pPr>
      <w:r>
        <w:t xml:space="preserve">Unique Media Identifier (UMid)</w:t>
      </w:r>
    </w:p>
    <w:p>
      <w:pPr>
        <w:numPr>
          <w:ilvl w:val="0"/>
          <w:numId w:val="1014"/>
        </w:numPr>
      </w:pPr>
      <w:r>
        <w:rPr>
          <w:b/>
          <w:bCs/>
        </w:rPr>
        <w:t xml:space="preserve">SDO/Group:</w:t>
      </w:r>
      <w:r>
        <w:t xml:space="preserve"> </w:t>
      </w:r>
      <w:r>
        <w:t xml:space="preserve">IWA 44</w:t>
      </w:r>
    </w:p>
    <w:p>
      <w:pPr>
        <w:numPr>
          <w:ilvl w:val="0"/>
          <w:numId w:val="1014"/>
        </w:numPr>
      </w:pPr>
      <w:r>
        <w:rPr>
          <w:b/>
          <w:bCs/>
        </w:rPr>
        <w:t xml:space="preserve">Link:</w:t>
      </w:r>
      <w:r>
        <w:t xml:space="preserve"> </w:t>
      </w:r>
      <w:hyperlink r:id="rId44">
        <w:r>
          <w:rPr>
            <w:rStyle w:val="Hyperlink"/>
          </w:rPr>
          <w:t xml:space="preserve">Umid</w:t>
        </w:r>
      </w:hyperlink>
    </w:p>
    <w:p>
      <w:pPr>
        <w:numPr>
          <w:ilvl w:val="0"/>
          <w:numId w:val="1014"/>
        </w:numPr>
      </w:pPr>
      <w:r>
        <w:rPr>
          <w:b/>
          <w:bCs/>
        </w:rPr>
        <w:t xml:space="preserve">Status:</w:t>
      </w:r>
      <w:r>
        <w:t xml:space="preserve"> </w:t>
      </w:r>
      <w:r>
        <w:t xml:space="preserve">Published</w:t>
      </w:r>
    </w:p>
    <w:p>
      <w:pPr>
        <w:numPr>
          <w:ilvl w:val="0"/>
          <w:numId w:val="1014"/>
        </w:numPr>
      </w:pPr>
      <w:r>
        <w:rPr>
          <w:b/>
          <w:bCs/>
        </w:rPr>
        <w:t xml:space="preserve">Media:</w:t>
      </w:r>
      <w:r>
        <w:t xml:space="preserve"> </w:t>
      </w:r>
      <w:r>
        <w:t xml:space="preserve">Any</w:t>
      </w:r>
    </w:p>
    <w:p>
      <w:pPr>
        <w:numPr>
          <w:ilvl w:val="0"/>
          <w:numId w:val="1014"/>
        </w:numPr>
      </w:pPr>
      <w:r>
        <w:rPr>
          <w:b/>
          <w:bCs/>
        </w:rPr>
        <w:t xml:space="preserve">Summary:</w:t>
      </w:r>
      <w:r>
        <w:t xml:space="preserve"> </w:t>
      </w:r>
      <w:r>
        <w:t xml:space="preserve">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bookmarkEnd w:id="45"/>
    <w:bookmarkStart w:id="47" w:name="tdm-reservation-protocol"/>
    <w:p>
      <w:pPr>
        <w:pStyle w:val="Heading2"/>
      </w:pPr>
      <w:r>
        <w:t xml:space="preserve">TDM Reservation Protocol</w:t>
      </w:r>
    </w:p>
    <w:p>
      <w:pPr>
        <w:numPr>
          <w:ilvl w:val="0"/>
          <w:numId w:val="1015"/>
        </w:numPr>
      </w:pPr>
      <w:r>
        <w:rPr>
          <w:b/>
          <w:bCs/>
        </w:rPr>
        <w:t xml:space="preserve">SDO/Group:</w:t>
      </w:r>
      <w:r>
        <w:t xml:space="preserve"> </w:t>
      </w:r>
      <w:r>
        <w:t xml:space="preserve">W3C</w:t>
      </w:r>
    </w:p>
    <w:p>
      <w:pPr>
        <w:numPr>
          <w:ilvl w:val="0"/>
          <w:numId w:val="1015"/>
        </w:numPr>
      </w:pPr>
      <w:r>
        <w:rPr>
          <w:b/>
          <w:bCs/>
        </w:rPr>
        <w:t xml:space="preserve">Link:</w:t>
      </w:r>
      <w:r>
        <w:t xml:space="preserve"> </w:t>
      </w:r>
      <w:hyperlink r:id="rId46">
        <w:r>
          <w:rPr>
            <w:rStyle w:val="Hyperlink"/>
          </w:rPr>
          <w:t xml:space="preserve">TDMRep</w:t>
        </w:r>
      </w:hyperlink>
    </w:p>
    <w:p>
      <w:pPr>
        <w:numPr>
          <w:ilvl w:val="0"/>
          <w:numId w:val="1015"/>
        </w:numPr>
      </w:pPr>
      <w:r>
        <w:rPr>
          <w:b/>
          <w:bCs/>
        </w:rPr>
        <w:t xml:space="preserve">Status:</w:t>
      </w:r>
      <w:r>
        <w:t xml:space="preserve"> </w:t>
      </w:r>
      <w:r>
        <w:t xml:space="preserve">Published</w:t>
      </w:r>
    </w:p>
    <w:p>
      <w:pPr>
        <w:numPr>
          <w:ilvl w:val="0"/>
          <w:numId w:val="1015"/>
        </w:numPr>
      </w:pPr>
      <w:r>
        <w:rPr>
          <w:b/>
          <w:bCs/>
        </w:rPr>
        <w:t xml:space="preserve">Media:</w:t>
      </w:r>
      <w:r>
        <w:t xml:space="preserve"> </w:t>
      </w:r>
      <w:r>
        <w:t xml:space="preserve">Web pages, EPUB, PDF</w:t>
      </w:r>
    </w:p>
    <w:p>
      <w:pPr>
        <w:numPr>
          <w:ilvl w:val="0"/>
          <w:numId w:val="1015"/>
        </w:numPr>
      </w:pPr>
      <w:r>
        <w:rPr>
          <w:b/>
          <w:bCs/>
        </w:rPr>
        <w:t xml:space="preserve">Summary:</w:t>
      </w:r>
      <w:r>
        <w:t xml:space="preserve"> </w:t>
      </w:r>
      <w:r>
        <w:t xml:space="preserve">This protocol provides guidelines for reserving content from text and data mining. It includes methods for creating and maintaining TDMRep files, which can be used to document the reservation of digital assets. This helps in ensuring that content is not used for data mining without the creator’s consent.</w:t>
      </w:r>
    </w:p>
    <w:bookmarkEnd w:id="47"/>
    <w:bookmarkStart w:id="49" w:name="spawning-ai.txt"/>
    <w:p>
      <w:pPr>
        <w:pStyle w:val="Heading2"/>
      </w:pPr>
      <w:r>
        <w:t xml:space="preserve">Spawning ai.txt</w:t>
      </w:r>
    </w:p>
    <w:p>
      <w:pPr>
        <w:numPr>
          <w:ilvl w:val="0"/>
          <w:numId w:val="1016"/>
        </w:numPr>
      </w:pPr>
      <w:r>
        <w:rPr>
          <w:b/>
          <w:bCs/>
        </w:rPr>
        <w:t xml:space="preserve">SDO/Group:</w:t>
      </w:r>
      <w:r>
        <w:t xml:space="preserve"> </w:t>
      </w:r>
      <w:r>
        <w:t xml:space="preserve">Spawning</w:t>
      </w:r>
    </w:p>
    <w:p>
      <w:pPr>
        <w:numPr>
          <w:ilvl w:val="0"/>
          <w:numId w:val="1016"/>
        </w:numPr>
      </w:pPr>
      <w:r>
        <w:rPr>
          <w:b/>
          <w:bCs/>
        </w:rPr>
        <w:t xml:space="preserve">Link:</w:t>
      </w:r>
      <w:r>
        <w:t xml:space="preserve"> </w:t>
      </w:r>
      <w:hyperlink r:id="rId48">
        <w:r>
          <w:rPr>
            <w:rStyle w:val="Hyperlink"/>
          </w:rPr>
          <w:t xml:space="preserve">Spawning ai.txt</w:t>
        </w:r>
      </w:hyperlink>
    </w:p>
    <w:p>
      <w:pPr>
        <w:numPr>
          <w:ilvl w:val="0"/>
          <w:numId w:val="1016"/>
        </w:numPr>
      </w:pPr>
      <w:r>
        <w:rPr>
          <w:b/>
          <w:bCs/>
        </w:rPr>
        <w:t xml:space="preserve">Status:</w:t>
      </w:r>
      <w:r>
        <w:t xml:space="preserve"> </w:t>
      </w:r>
      <w:r>
        <w:t xml:space="preserve">Published</w:t>
      </w:r>
    </w:p>
    <w:p>
      <w:pPr>
        <w:numPr>
          <w:ilvl w:val="0"/>
          <w:numId w:val="1016"/>
        </w:numPr>
      </w:pPr>
      <w:r>
        <w:rPr>
          <w:b/>
          <w:bCs/>
        </w:rPr>
        <w:t xml:space="preserve">Media:</w:t>
      </w:r>
      <w:r>
        <w:t xml:space="preserve"> </w:t>
      </w:r>
      <w:r>
        <w:t xml:space="preserve">Any</w:t>
      </w:r>
    </w:p>
    <w:p>
      <w:pPr>
        <w:numPr>
          <w:ilvl w:val="0"/>
          <w:numId w:val="1016"/>
        </w:numPr>
      </w:pPr>
      <w:r>
        <w:rPr>
          <w:b/>
          <w:bCs/>
        </w:rPr>
        <w:t xml:space="preserve">Summary:</w:t>
      </w:r>
      <w:r>
        <w:t xml:space="preserve"> </w:t>
      </w:r>
      <w:r>
        <w:t xml:space="preserve">This specification offers a method for opting out of AI training. It includes guidelines for creating and maintaining ai.txt files, which can be used to document the opt-out of digital assets. This helps in ensuring that content is not used for AI training without the creator’s consent.</w:t>
      </w:r>
    </w:p>
    <w:bookmarkEnd w:id="49"/>
    <w:bookmarkStart w:id="51" w:name="robots.txt"/>
    <w:p>
      <w:pPr>
        <w:pStyle w:val="Heading2"/>
      </w:pPr>
      <w:r>
        <w:t xml:space="preserve">Robots.txt</w:t>
      </w:r>
    </w:p>
    <w:p>
      <w:pPr>
        <w:numPr>
          <w:ilvl w:val="0"/>
          <w:numId w:val="1017"/>
        </w:numPr>
      </w:pPr>
      <w:r>
        <w:rPr>
          <w:b/>
          <w:bCs/>
        </w:rPr>
        <w:t xml:space="preserve">SDO/Group:</w:t>
      </w:r>
      <w:r>
        <w:t xml:space="preserve"> </w:t>
      </w:r>
      <w:r>
        <w:t xml:space="preserve">IETF</w:t>
      </w:r>
    </w:p>
    <w:p>
      <w:pPr>
        <w:numPr>
          <w:ilvl w:val="0"/>
          <w:numId w:val="1017"/>
        </w:numPr>
      </w:pPr>
      <w:r>
        <w:rPr>
          <w:b/>
          <w:bCs/>
        </w:rPr>
        <w:t xml:space="preserve">Link:</w:t>
      </w:r>
      <w:r>
        <w:t xml:space="preserve"> </w:t>
      </w:r>
      <w:hyperlink r:id="rId50">
        <w:r>
          <w:rPr>
            <w:rStyle w:val="Hyperlink"/>
          </w:rPr>
          <w:t xml:space="preserve">RFC 9309</w:t>
        </w:r>
      </w:hyperlink>
    </w:p>
    <w:p>
      <w:pPr>
        <w:numPr>
          <w:ilvl w:val="0"/>
          <w:numId w:val="1017"/>
        </w:numPr>
      </w:pPr>
      <w:r>
        <w:rPr>
          <w:b/>
          <w:bCs/>
        </w:rPr>
        <w:t xml:space="preserve">Status:</w:t>
      </w:r>
      <w:r>
        <w:t xml:space="preserve"> </w:t>
      </w:r>
      <w:r>
        <w:t xml:space="preserve">Published</w:t>
      </w:r>
    </w:p>
    <w:p>
      <w:pPr>
        <w:numPr>
          <w:ilvl w:val="0"/>
          <w:numId w:val="1017"/>
        </w:numPr>
      </w:pPr>
      <w:r>
        <w:rPr>
          <w:b/>
          <w:bCs/>
        </w:rPr>
        <w:t xml:space="preserve">Media:</w:t>
      </w:r>
      <w:r>
        <w:t xml:space="preserve"> </w:t>
      </w:r>
      <w:r>
        <w:t xml:space="preserve">Any</w:t>
      </w:r>
    </w:p>
    <w:p>
      <w:pPr>
        <w:numPr>
          <w:ilvl w:val="0"/>
          <w:numId w:val="1017"/>
        </w:numPr>
      </w:pPr>
      <w:r>
        <w:rPr>
          <w:b/>
          <w:bCs/>
        </w:rPr>
        <w:t xml:space="preserve">Summary:</w:t>
      </w:r>
      <w:r>
        <w:t xml:space="preserve"> </w:t>
      </w:r>
      <w:r>
        <w:t xml:space="preserve">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bookmarkEnd w:id="51"/>
    <w:bookmarkStart w:id="53" w:name="X19e4faeae5636afcd512009a939271d4470642b"/>
    <w:p>
      <w:pPr>
        <w:pStyle w:val="Heading2"/>
      </w:pPr>
      <w:r>
        <w:t xml:space="preserve">Vocabulary for Expressing Content Preferences for AI Training</w:t>
      </w:r>
    </w:p>
    <w:p>
      <w:pPr>
        <w:numPr>
          <w:ilvl w:val="0"/>
          <w:numId w:val="1018"/>
        </w:numPr>
      </w:pPr>
      <w:r>
        <w:rPr>
          <w:b/>
          <w:bCs/>
        </w:rPr>
        <w:t xml:space="preserve">SDO/Group:</w:t>
      </w:r>
      <w:r>
        <w:t xml:space="preserve"> </w:t>
      </w:r>
      <w:r>
        <w:t xml:space="preserve">IETF</w:t>
      </w:r>
    </w:p>
    <w:p>
      <w:pPr>
        <w:numPr>
          <w:ilvl w:val="0"/>
          <w:numId w:val="1018"/>
        </w:numPr>
      </w:pPr>
      <w:r>
        <w:rPr>
          <w:b/>
          <w:bCs/>
        </w:rPr>
        <w:t xml:space="preserve">Link:</w:t>
      </w:r>
      <w:r>
        <w:t xml:space="preserve"> </w:t>
      </w:r>
      <w:hyperlink r:id="rId52">
        <w:r>
          <w:rPr>
            <w:rStyle w:val="Hyperlink"/>
          </w:rPr>
          <w:t xml:space="preserve">ietf-aipref-vocab-00</w:t>
        </w:r>
      </w:hyperlink>
    </w:p>
    <w:p>
      <w:pPr>
        <w:numPr>
          <w:ilvl w:val="0"/>
          <w:numId w:val="1018"/>
        </w:numPr>
      </w:pPr>
      <w:r>
        <w:rPr>
          <w:b/>
          <w:bCs/>
        </w:rPr>
        <w:t xml:space="preserve">Status:</w:t>
      </w:r>
      <w:r>
        <w:t xml:space="preserve"> </w:t>
      </w:r>
      <w:r>
        <w:t xml:space="preserve">In progress</w:t>
      </w:r>
    </w:p>
    <w:p>
      <w:pPr>
        <w:numPr>
          <w:ilvl w:val="0"/>
          <w:numId w:val="1018"/>
        </w:numPr>
      </w:pPr>
      <w:r>
        <w:rPr>
          <w:b/>
          <w:bCs/>
        </w:rPr>
        <w:t xml:space="preserve">Media:</w:t>
      </w:r>
      <w:r>
        <w:t xml:space="preserve"> </w:t>
      </w:r>
      <w:r>
        <w:t xml:space="preserve">Any</w:t>
      </w:r>
    </w:p>
    <w:p>
      <w:pPr>
        <w:numPr>
          <w:ilvl w:val="0"/>
          <w:numId w:val="1018"/>
        </w:numPr>
      </w:pPr>
      <w:r>
        <w:rPr>
          <w:b/>
          <w:bCs/>
        </w:rPr>
        <w:t xml:space="preserve">Summary:</w:t>
      </w:r>
      <w:r>
        <w:t xml:space="preserve"> </w:t>
      </w:r>
      <w:r>
        <w:t xml:space="preserve">This document proposes a standardized vocabulary of use cases that can be targeted when expressing machine-readable opt-outs related to Text and Data Mining (TDM) and AI training. The vocabulary is agnostic to specific opt-out mechanisms and enables declaring parties to communicate restrictions or permissions regarding the use of their digital assets in a structured and interoperable manner.</w:t>
      </w:r>
    </w:p>
    <w:bookmarkEnd w:id="53"/>
    <w:bookmarkStart w:id="55" w:name="open-binding-of-content-identifiers-obid"/>
    <w:p>
      <w:pPr>
        <w:pStyle w:val="Heading2"/>
      </w:pPr>
      <w:r>
        <w:t xml:space="preserve">Open Binding of Content Identifiers (OBID)</w:t>
      </w:r>
    </w:p>
    <w:p>
      <w:pPr>
        <w:numPr>
          <w:ilvl w:val="0"/>
          <w:numId w:val="1019"/>
        </w:numPr>
      </w:pPr>
      <w:r>
        <w:rPr>
          <w:b/>
          <w:bCs/>
        </w:rPr>
        <w:t xml:space="preserve">SDO/Group:</w:t>
      </w:r>
      <w:r>
        <w:t xml:space="preserve"> </w:t>
      </w:r>
      <w:r>
        <w:t xml:space="preserve">SMPTE</w:t>
      </w:r>
    </w:p>
    <w:p>
      <w:pPr>
        <w:numPr>
          <w:ilvl w:val="0"/>
          <w:numId w:val="1019"/>
        </w:numPr>
      </w:pPr>
      <w:r>
        <w:rPr>
          <w:b/>
          <w:bCs/>
        </w:rPr>
        <w:t xml:space="preserve">Link:</w:t>
      </w:r>
      <w:r>
        <w:t xml:space="preserve"> </w:t>
      </w:r>
      <w:hyperlink r:id="rId54">
        <w:r>
          <w:rPr>
            <w:rStyle w:val="Hyperlink"/>
          </w:rPr>
          <w:t xml:space="preserve">SMPTE ST 2112-10:2020</w:t>
        </w:r>
      </w:hyperlink>
    </w:p>
    <w:p>
      <w:pPr>
        <w:numPr>
          <w:ilvl w:val="0"/>
          <w:numId w:val="1019"/>
        </w:numPr>
      </w:pPr>
      <w:r>
        <w:rPr>
          <w:b/>
          <w:bCs/>
        </w:rPr>
        <w:t xml:space="preserve">Status:</w:t>
      </w:r>
      <w:r>
        <w:t xml:space="preserve"> </w:t>
      </w:r>
      <w:r>
        <w:t xml:space="preserve">Published</w:t>
      </w:r>
    </w:p>
    <w:p>
      <w:pPr>
        <w:numPr>
          <w:ilvl w:val="0"/>
          <w:numId w:val="1019"/>
        </w:numPr>
      </w:pPr>
      <w:r>
        <w:rPr>
          <w:b/>
          <w:bCs/>
        </w:rPr>
        <w:t xml:space="preserve">Media:</w:t>
      </w:r>
      <w:r>
        <w:t xml:space="preserve"> </w:t>
      </w:r>
      <w:r>
        <w:t xml:space="preserve">Audio</w:t>
      </w:r>
    </w:p>
    <w:p>
      <w:pPr>
        <w:numPr>
          <w:ilvl w:val="0"/>
          <w:numId w:val="1019"/>
        </w:numPr>
      </w:pPr>
      <w:r>
        <w:rPr>
          <w:b/>
          <w:bCs/>
        </w:rPr>
        <w:t xml:space="preserve">Summary:</w:t>
      </w:r>
      <w:r>
        <w:t xml:space="preserve"> </w:t>
      </w:r>
      <w:r>
        <w:t xml:space="preserve">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bookmarkEnd w:id="55"/>
    <w:bookmarkStart w:id="57" w:name="X18b6925442e41f230aa14cf1c296086857fbb2f"/>
    <w:p>
      <w:pPr>
        <w:pStyle w:val="Heading2"/>
      </w:pPr>
      <w:r>
        <w:t xml:space="preserve">X.ig-dw: Implementation guidelines for digital watermarking</w:t>
      </w:r>
    </w:p>
    <w:p>
      <w:pPr>
        <w:numPr>
          <w:ilvl w:val="0"/>
          <w:numId w:val="1020"/>
        </w:numPr>
      </w:pPr>
      <w:r>
        <w:rPr>
          <w:b/>
          <w:bCs/>
        </w:rPr>
        <w:t xml:space="preserve">SDO/Group:</w:t>
      </w:r>
      <w:r>
        <w:t xml:space="preserve"> </w:t>
      </w:r>
      <w:r>
        <w:t xml:space="preserve">ITU-T SG17</w:t>
      </w:r>
    </w:p>
    <w:p>
      <w:pPr>
        <w:numPr>
          <w:ilvl w:val="0"/>
          <w:numId w:val="1020"/>
        </w:numPr>
      </w:pPr>
      <w:r>
        <w:rPr>
          <w:b/>
          <w:bCs/>
        </w:rPr>
        <w:t xml:space="preserve">Link:</w:t>
      </w:r>
      <w:r>
        <w:t xml:space="preserve"> </w:t>
      </w:r>
      <w:hyperlink r:id="rId56">
        <w:r>
          <w:rPr>
            <w:rStyle w:val="Hyperlink"/>
          </w:rPr>
          <w:t xml:space="preserve">2413-PLEN</w:t>
        </w:r>
      </w:hyperlink>
    </w:p>
    <w:p>
      <w:pPr>
        <w:numPr>
          <w:ilvl w:val="0"/>
          <w:numId w:val="1020"/>
        </w:numPr>
      </w:pPr>
      <w:r>
        <w:rPr>
          <w:b/>
          <w:bCs/>
        </w:rPr>
        <w:t xml:space="preserve">Status:</w:t>
      </w:r>
      <w:r>
        <w:t xml:space="preserve"> </w:t>
      </w:r>
      <w:r>
        <w:t xml:space="preserve">Published, but temporary</w:t>
      </w:r>
    </w:p>
    <w:p>
      <w:pPr>
        <w:numPr>
          <w:ilvl w:val="0"/>
          <w:numId w:val="1020"/>
        </w:numPr>
      </w:pPr>
      <w:r>
        <w:rPr>
          <w:b/>
          <w:bCs/>
        </w:rPr>
        <w:t xml:space="preserve">Media:</w:t>
      </w:r>
      <w:r>
        <w:t xml:space="preserve"> </w:t>
      </w:r>
      <w:r>
        <w:t xml:space="preserve">Images, Videos</w:t>
      </w:r>
    </w:p>
    <w:p>
      <w:pPr>
        <w:numPr>
          <w:ilvl w:val="0"/>
          <w:numId w:val="1020"/>
        </w:numPr>
      </w:pPr>
      <w:r>
        <w:rPr>
          <w:b/>
          <w:bCs/>
        </w:rPr>
        <w:t xml:space="preserve">Summary:</w:t>
      </w:r>
      <w:r>
        <w:t xml:space="preserve"> </w:t>
      </w:r>
      <w:r>
        <w:t xml:space="preserve">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bookmarkEnd w:id="57"/>
    <w:bookmarkStart w:id="59" w:name="Xa77454460d7513a9fecea15efbcc0a78b03a739"/>
    <w:p>
      <w:pPr>
        <w:pStyle w:val="Heading2"/>
      </w:pPr>
      <w:r>
        <w:t xml:space="preserve">Information technology — Specification of digital rights management (DRM) technology for digital publications</w:t>
      </w:r>
    </w:p>
    <w:p>
      <w:pPr>
        <w:pStyle w:val="FirstParagraph"/>
      </w:pPr>
      <w:r>
        <w:t xml:space="preserve">Part 1: Overview of copyright protection technologies in use in the publishing industry</w:t>
      </w:r>
    </w:p>
    <w:p>
      <w:pPr>
        <w:numPr>
          <w:ilvl w:val="0"/>
          <w:numId w:val="1021"/>
        </w:numPr>
      </w:pPr>
      <w:r>
        <w:rPr>
          <w:b/>
          <w:bCs/>
        </w:rPr>
        <w:t xml:space="preserve">SDO/Group:</w:t>
      </w:r>
      <w:r>
        <w:t xml:space="preserve"> </w:t>
      </w:r>
      <w:r>
        <w:t xml:space="preserve">ISO/IEC JTC 1/SC 34</w:t>
      </w:r>
    </w:p>
    <w:p>
      <w:pPr>
        <w:numPr>
          <w:ilvl w:val="0"/>
          <w:numId w:val="1021"/>
        </w:numPr>
      </w:pPr>
      <w:r>
        <w:rPr>
          <w:b/>
          <w:bCs/>
        </w:rPr>
        <w:t xml:space="preserve">Link:</w:t>
      </w:r>
      <w:r>
        <w:t xml:space="preserve"> </w:t>
      </w:r>
      <w:hyperlink r:id="rId58">
        <w:r>
          <w:rPr>
            <w:rStyle w:val="Hyperlink"/>
          </w:rPr>
          <w:t xml:space="preserve">ISO/IEC 23078-1:2024</w:t>
        </w:r>
      </w:hyperlink>
    </w:p>
    <w:p>
      <w:pPr>
        <w:numPr>
          <w:ilvl w:val="0"/>
          <w:numId w:val="1021"/>
        </w:numPr>
      </w:pPr>
      <w:r>
        <w:rPr>
          <w:b/>
          <w:bCs/>
        </w:rPr>
        <w:t xml:space="preserve">Status:</w:t>
      </w:r>
      <w:r>
        <w:t xml:space="preserve"> </w:t>
      </w:r>
      <w:r>
        <w:t xml:space="preserve">Published</w:t>
      </w:r>
    </w:p>
    <w:p>
      <w:pPr>
        <w:numPr>
          <w:ilvl w:val="0"/>
          <w:numId w:val="1021"/>
        </w:numPr>
      </w:pPr>
      <w:r>
        <w:rPr>
          <w:b/>
          <w:bCs/>
        </w:rPr>
        <w:t xml:space="preserve">Media:</w:t>
      </w:r>
      <w:r>
        <w:t xml:space="preserve"> </w:t>
      </w:r>
      <w:r>
        <w:t xml:space="preserve">EPUB,PDF</w:t>
      </w:r>
    </w:p>
    <w:p>
      <w:pPr>
        <w:numPr>
          <w:ilvl w:val="0"/>
          <w:numId w:val="1021"/>
        </w:numPr>
      </w:pPr>
      <w:r>
        <w:rPr>
          <w:b/>
          <w:bCs/>
        </w:rPr>
        <w:t xml:space="preserve">Summary:</w:t>
      </w:r>
      <w:r>
        <w:t xml:space="preserve"> </w:t>
      </w:r>
      <w:r>
        <w:t xml:space="preserve">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bookmarkEnd w:id="59"/>
    <w:bookmarkStart w:id="61" w:name="Xcdf9c9f7437ca51c72fa79e027b8f728758d944"/>
    <w:p>
      <w:pPr>
        <w:pStyle w:val="Heading2"/>
      </w:pPr>
      <w:r>
        <w:t xml:space="preserve">A Review of Medical Image Watermarking Requirements for Teleradiology</w:t>
      </w:r>
    </w:p>
    <w:p>
      <w:pPr>
        <w:numPr>
          <w:ilvl w:val="0"/>
          <w:numId w:val="1022"/>
        </w:numPr>
      </w:pPr>
      <w:r>
        <w:rPr>
          <w:b/>
          <w:bCs/>
        </w:rPr>
        <w:t xml:space="preserve">SDO/Group:</w:t>
      </w:r>
      <w:r>
        <w:t xml:space="preserve"> </w:t>
      </w:r>
      <w:r>
        <w:t xml:space="preserve">NIH</w:t>
      </w:r>
    </w:p>
    <w:p>
      <w:pPr>
        <w:numPr>
          <w:ilvl w:val="0"/>
          <w:numId w:val="1022"/>
        </w:numPr>
      </w:pPr>
      <w:r>
        <w:rPr>
          <w:b/>
          <w:bCs/>
        </w:rPr>
        <w:t xml:space="preserve">Link:</w:t>
      </w:r>
      <w:r>
        <w:t xml:space="preserve"> </w:t>
      </w:r>
      <w:hyperlink r:id="rId60">
        <w:r>
          <w:rPr>
            <w:rStyle w:val="Hyperlink"/>
          </w:rPr>
          <w:t xml:space="preserve">Medical Image Watermarking</w:t>
        </w:r>
      </w:hyperlink>
    </w:p>
    <w:p>
      <w:pPr>
        <w:numPr>
          <w:ilvl w:val="0"/>
          <w:numId w:val="1022"/>
        </w:numPr>
      </w:pPr>
      <w:r>
        <w:rPr>
          <w:b/>
          <w:bCs/>
        </w:rPr>
        <w:t xml:space="preserve">Status:</w:t>
      </w:r>
      <w:r>
        <w:t xml:space="preserve"> </w:t>
      </w:r>
      <w:r>
        <w:t xml:space="preserve">Published</w:t>
      </w:r>
    </w:p>
    <w:p>
      <w:pPr>
        <w:numPr>
          <w:ilvl w:val="0"/>
          <w:numId w:val="1022"/>
        </w:numPr>
      </w:pPr>
      <w:r>
        <w:rPr>
          <w:b/>
          <w:bCs/>
        </w:rPr>
        <w:t xml:space="preserve">Media:</w:t>
      </w:r>
      <w:r>
        <w:t xml:space="preserve"> </w:t>
      </w:r>
      <w:r>
        <w:t xml:space="preserve">Images</w:t>
      </w:r>
    </w:p>
    <w:p>
      <w:pPr>
        <w:numPr>
          <w:ilvl w:val="0"/>
          <w:numId w:val="1022"/>
        </w:numPr>
      </w:pPr>
      <w:r>
        <w:rPr>
          <w:b/>
          <w:bCs/>
        </w:rPr>
        <w:t xml:space="preserve">Summary:</w:t>
      </w:r>
      <w:r>
        <w:t xml:space="preserve"> </w:t>
      </w:r>
      <w:r>
        <w:t xml:space="preserve">This review outlines the requirements for watermarking medical images for teleradiology. It includes guidelines for creating and maintaining watermark files, which can be used to document the watermarking of medical images. This helps in ensuring that content is properly accounted for and can be easily identified and retrieved.</w:t>
      </w:r>
    </w:p>
    <w:bookmarkEnd w:id="61"/>
    <w:bookmarkStart w:id="63" w:name="X1f2fe83c29512bfba0cb03b6dc67b57b400226d"/>
    <w:p>
      <w:pPr>
        <w:pStyle w:val="Heading2"/>
      </w:pPr>
      <w:r>
        <w:t xml:space="preserve">Information technology — Multimedia framework (MPEG-21) — Part 11: Evaluation Tools for Persistent Association Technologies</w:t>
      </w:r>
    </w:p>
    <w:p>
      <w:pPr>
        <w:numPr>
          <w:ilvl w:val="0"/>
          <w:numId w:val="1023"/>
        </w:numPr>
      </w:pPr>
      <w:r>
        <w:rPr>
          <w:b/>
          <w:bCs/>
        </w:rPr>
        <w:t xml:space="preserve">SDO/Group:</w:t>
      </w:r>
      <w:r>
        <w:t xml:space="preserve"> </w:t>
      </w:r>
      <w:r>
        <w:t xml:space="preserve">ISO/IEC JTC 1/SC 29/WG 11</w:t>
      </w:r>
    </w:p>
    <w:p>
      <w:pPr>
        <w:numPr>
          <w:ilvl w:val="0"/>
          <w:numId w:val="1023"/>
        </w:numPr>
      </w:pPr>
      <w:r>
        <w:rPr>
          <w:b/>
          <w:bCs/>
        </w:rPr>
        <w:t xml:space="preserve">Link:</w:t>
      </w:r>
      <w:r>
        <w:t xml:space="preserve"> </w:t>
      </w:r>
      <w:hyperlink r:id="rId62">
        <w:r>
          <w:rPr>
            <w:rStyle w:val="Hyperlink"/>
          </w:rPr>
          <w:t xml:space="preserve">ISO/IEC TR 21000-11:2004</w:t>
        </w:r>
      </w:hyperlink>
    </w:p>
    <w:p>
      <w:pPr>
        <w:numPr>
          <w:ilvl w:val="0"/>
          <w:numId w:val="1023"/>
        </w:numPr>
      </w:pPr>
      <w:r>
        <w:rPr>
          <w:b/>
          <w:bCs/>
        </w:rPr>
        <w:t xml:space="preserve">Status:</w:t>
      </w:r>
      <w:r>
        <w:t xml:space="preserve"> </w:t>
      </w:r>
      <w:r>
        <w:t xml:space="preserve">Published</w:t>
      </w:r>
    </w:p>
    <w:p>
      <w:pPr>
        <w:numPr>
          <w:ilvl w:val="0"/>
          <w:numId w:val="1023"/>
        </w:numPr>
      </w:pPr>
      <w:r>
        <w:rPr>
          <w:b/>
          <w:bCs/>
        </w:rPr>
        <w:t xml:space="preserve">Media:</w:t>
      </w:r>
      <w:r>
        <w:t xml:space="preserve"> </w:t>
      </w:r>
      <w:r>
        <w:t xml:space="preserve">Audio, Video</w:t>
      </w:r>
    </w:p>
    <w:p>
      <w:pPr>
        <w:numPr>
          <w:ilvl w:val="0"/>
          <w:numId w:val="1023"/>
        </w:numPr>
      </w:pPr>
      <w:r>
        <w:rPr>
          <w:b/>
          <w:bCs/>
        </w:rPr>
        <w:t xml:space="preserve">Summary:</w:t>
      </w:r>
      <w:r>
        <w:t xml:space="preserve"> </w:t>
      </w:r>
      <w:r>
        <w:t xml:space="preserve">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bookmarkEnd w:id="63"/>
    <w:bookmarkStart w:id="65" w:name="X291edeb9c7315faebe95c366a195efc2c1b9115"/>
    <w:p>
      <w:pPr>
        <w:pStyle w:val="Heading2"/>
      </w:pPr>
      <w:r>
        <w:t xml:space="preserve">IEEE Draft Standard for Evaluation Method of Robustness of Digital Watermarking Implementation in Digital Contents</w:t>
      </w:r>
    </w:p>
    <w:p>
      <w:pPr>
        <w:numPr>
          <w:ilvl w:val="0"/>
          <w:numId w:val="1024"/>
        </w:numPr>
      </w:pPr>
      <w:r>
        <w:rPr>
          <w:b/>
          <w:bCs/>
        </w:rPr>
        <w:t xml:space="preserve">SDO/Group:</w:t>
      </w:r>
      <w:r>
        <w:t xml:space="preserve"> </w:t>
      </w:r>
      <w:r>
        <w:t xml:space="preserve">IEEE</w:t>
      </w:r>
    </w:p>
    <w:p>
      <w:pPr>
        <w:numPr>
          <w:ilvl w:val="0"/>
          <w:numId w:val="1024"/>
        </w:numPr>
      </w:pPr>
      <w:r>
        <w:rPr>
          <w:b/>
          <w:bCs/>
        </w:rPr>
        <w:t xml:space="preserve">Link:</w:t>
      </w:r>
      <w:r>
        <w:t xml:space="preserve"> </w:t>
      </w:r>
      <w:hyperlink r:id="rId64">
        <w:r>
          <w:rPr>
            <w:rStyle w:val="Hyperlink"/>
          </w:rPr>
          <w:t xml:space="preserve">IEEE P3361</w:t>
        </w:r>
      </w:hyperlink>
    </w:p>
    <w:p>
      <w:pPr>
        <w:numPr>
          <w:ilvl w:val="0"/>
          <w:numId w:val="1024"/>
        </w:numPr>
      </w:pPr>
      <w:r>
        <w:rPr>
          <w:b/>
          <w:bCs/>
        </w:rPr>
        <w:t xml:space="preserve">Status:</w:t>
      </w:r>
      <w:r>
        <w:t xml:space="preserve"> </w:t>
      </w:r>
      <w:r>
        <w:t xml:space="preserve">In progress</w:t>
      </w:r>
    </w:p>
    <w:p>
      <w:pPr>
        <w:numPr>
          <w:ilvl w:val="0"/>
          <w:numId w:val="1024"/>
        </w:numPr>
      </w:pPr>
      <w:r>
        <w:rPr>
          <w:b/>
          <w:bCs/>
        </w:rPr>
        <w:t xml:space="preserve">Media:</w:t>
      </w:r>
      <w:r>
        <w:t xml:space="preserve"> </w:t>
      </w:r>
      <w:r>
        <w:t xml:space="preserve">Any</w:t>
      </w:r>
    </w:p>
    <w:p>
      <w:pPr>
        <w:numPr>
          <w:ilvl w:val="0"/>
          <w:numId w:val="1024"/>
        </w:numPr>
      </w:pPr>
      <w:r>
        <w:rPr>
          <w:b/>
          <w:bCs/>
        </w:rPr>
        <w:t xml:space="preserve">Summary:</w:t>
      </w:r>
      <w:r>
        <w:t xml:space="preserve"> </w:t>
      </w:r>
      <w:r>
        <w:t xml:space="preserve">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bookmarkEnd w:id="65"/>
    <w:bookmarkStart w:id="67" w:name="Xd606bc97aa4a2e48390bda56aa16155e8c54aab"/>
    <w:p>
      <w:pPr>
        <w:pStyle w:val="Heading2"/>
      </w:pPr>
      <w:r>
        <w:t xml:space="preserve">H.MMAUTH: Framework for authentication of multimedia content</w:t>
      </w:r>
    </w:p>
    <w:p>
      <w:pPr>
        <w:numPr>
          <w:ilvl w:val="0"/>
          <w:numId w:val="1025"/>
        </w:numPr>
      </w:pPr>
      <w:r>
        <w:rPr>
          <w:b/>
          <w:bCs/>
        </w:rPr>
        <w:t xml:space="preserve">SDO/Group:</w:t>
      </w:r>
      <w:r>
        <w:t xml:space="preserve"> </w:t>
      </w:r>
      <w:r>
        <w:t xml:space="preserve">ITU-T SG21/Q9</w:t>
      </w:r>
    </w:p>
    <w:p>
      <w:pPr>
        <w:numPr>
          <w:ilvl w:val="0"/>
          <w:numId w:val="1025"/>
        </w:numPr>
      </w:pPr>
      <w:r>
        <w:rPr>
          <w:b/>
          <w:bCs/>
        </w:rPr>
        <w:t xml:space="preserve">Link:</w:t>
      </w:r>
      <w:r>
        <w:t xml:space="preserve"> </w:t>
      </w:r>
      <w:hyperlink r:id="rId66">
        <w:r>
          <w:rPr>
            <w:rStyle w:val="Hyperlink"/>
          </w:rPr>
          <w:t xml:space="preserve">H.MMAUTH</w:t>
        </w:r>
      </w:hyperlink>
    </w:p>
    <w:p>
      <w:pPr>
        <w:numPr>
          <w:ilvl w:val="0"/>
          <w:numId w:val="1025"/>
        </w:numPr>
      </w:pPr>
      <w:r>
        <w:rPr>
          <w:b/>
          <w:bCs/>
        </w:rPr>
        <w:t xml:space="preserve">Status:</w:t>
      </w:r>
      <w:r>
        <w:t xml:space="preserve"> </w:t>
      </w:r>
      <w:r>
        <w:t xml:space="preserve">In progress</w:t>
      </w:r>
    </w:p>
    <w:p>
      <w:pPr>
        <w:numPr>
          <w:ilvl w:val="0"/>
          <w:numId w:val="1025"/>
        </w:numPr>
      </w:pPr>
      <w:r>
        <w:rPr>
          <w:b/>
          <w:bCs/>
        </w:rPr>
        <w:t xml:space="preserve">Media:</w:t>
      </w:r>
      <w:r>
        <w:t xml:space="preserve"> </w:t>
      </w:r>
      <w:r>
        <w:t xml:space="preserve">Video</w:t>
      </w:r>
    </w:p>
    <w:p>
      <w:pPr>
        <w:numPr>
          <w:ilvl w:val="0"/>
          <w:numId w:val="1025"/>
        </w:numPr>
      </w:pPr>
      <w:r>
        <w:rPr>
          <w:b/>
          <w:bCs/>
        </w:rPr>
        <w:t xml:space="preserve">Summary:</w:t>
      </w:r>
      <w:r>
        <w:t xml:space="preserve"> </w:t>
      </w:r>
      <w:r>
        <w:t xml:space="preserve">This Draft Recommendation specifies a technical solution for the verification of multimedia content integrity, enabling users to confirm the authenticity of the content by its creators, such as governments, companies, or news organizations. The solution is based on the digital signing of data streams. The content creator (encoder) uses a private key to sign the content, while the recipient (decoder) uses a corresponding public key to verify the authenticity. The public key, necessary for verification, is not derived directly from the data stream but is obtained through a trusted, independent method, such as a third-party trust center.</w:t>
      </w:r>
    </w:p>
    <w:bookmarkEnd w:id="67"/>
    <w:bookmarkStart w:id="69" w:name="Xde607fde064f054356ce81b2272e81dd8bac260"/>
    <w:p>
      <w:pPr>
        <w:pStyle w:val="Heading2"/>
      </w:pPr>
      <w:r>
        <w:t xml:space="preserve">H.274(V4): Versatile supplemental enhancement information messages for coded video bitstreams</w:t>
      </w:r>
    </w:p>
    <w:p>
      <w:pPr>
        <w:numPr>
          <w:ilvl w:val="0"/>
          <w:numId w:val="1026"/>
        </w:numPr>
      </w:pPr>
      <w:r>
        <w:rPr>
          <w:b/>
          <w:bCs/>
        </w:rPr>
        <w:t xml:space="preserve">SDO/Group:</w:t>
      </w:r>
      <w:r>
        <w:t xml:space="preserve"> </w:t>
      </w:r>
      <w:r>
        <w:t xml:space="preserve">JVET (ITU-T SG21 &amp; ISO/IEC JTC 1/SC 29/ WG5)</w:t>
      </w:r>
    </w:p>
    <w:p>
      <w:pPr>
        <w:numPr>
          <w:ilvl w:val="0"/>
          <w:numId w:val="1026"/>
        </w:numPr>
      </w:pPr>
      <w:r>
        <w:rPr>
          <w:b/>
          <w:bCs/>
        </w:rPr>
        <w:t xml:space="preserve">Link:</w:t>
      </w:r>
      <w:r>
        <w:t xml:space="preserve"> </w:t>
      </w:r>
      <w:hyperlink r:id="rId68">
        <w:r>
          <w:rPr>
            <w:rStyle w:val="Hyperlink"/>
          </w:rPr>
          <w:t xml:space="preserve">H.274(V4)</w:t>
        </w:r>
      </w:hyperlink>
    </w:p>
    <w:p>
      <w:pPr>
        <w:numPr>
          <w:ilvl w:val="0"/>
          <w:numId w:val="1026"/>
        </w:numPr>
      </w:pPr>
      <w:r>
        <w:rPr>
          <w:b/>
          <w:bCs/>
        </w:rPr>
        <w:t xml:space="preserve">Status:</w:t>
      </w:r>
      <w:r>
        <w:t xml:space="preserve"> </w:t>
      </w:r>
      <w:r>
        <w:t xml:space="preserve">In progress</w:t>
      </w:r>
    </w:p>
    <w:p>
      <w:pPr>
        <w:numPr>
          <w:ilvl w:val="0"/>
          <w:numId w:val="1026"/>
        </w:numPr>
      </w:pPr>
      <w:r>
        <w:rPr>
          <w:b/>
          <w:bCs/>
        </w:rPr>
        <w:t xml:space="preserve">Media:</w:t>
      </w:r>
      <w:r>
        <w:t xml:space="preserve"> </w:t>
      </w:r>
      <w:r>
        <w:t xml:space="preserve">Video</w:t>
      </w:r>
    </w:p>
    <w:p>
      <w:pPr>
        <w:numPr>
          <w:ilvl w:val="0"/>
          <w:numId w:val="1026"/>
        </w:numPr>
      </w:pPr>
      <w:r>
        <w:rPr>
          <w:b/>
          <w:bCs/>
        </w:rPr>
        <w:t xml:space="preserve">Summary:</w:t>
      </w:r>
      <w:r>
        <w:t xml:space="preserve"> </w:t>
      </w:r>
      <w:r>
        <w:t xml:space="preserve">This specification contains changes to the versatile supplemental enhancement information messages for coded video bitstreams (VSEI) standard to specify additional SEI messages that will be useful for the purposes of content provenance, trust and authenticity.</w:t>
      </w:r>
    </w:p>
    <w:bookmarkEnd w:id="69"/>
    <w:bookmarkStart w:id="71" w:name="X794a6d0610c198ce6510c92b4a34e573cf4397d"/>
    <w:p>
      <w:pPr>
        <w:pStyle w:val="Heading2"/>
      </w:pPr>
      <w:r>
        <w:t xml:space="preserve">H.VADS: Assessment criteria for video authenticity detection services</w:t>
      </w:r>
    </w:p>
    <w:p>
      <w:pPr>
        <w:numPr>
          <w:ilvl w:val="0"/>
          <w:numId w:val="1027"/>
        </w:numPr>
      </w:pPr>
      <w:r>
        <w:rPr>
          <w:b/>
          <w:bCs/>
        </w:rPr>
        <w:t xml:space="preserve">SDO/Group:</w:t>
      </w:r>
      <w:r>
        <w:t xml:space="preserve"> </w:t>
      </w:r>
      <w:r>
        <w:t xml:space="preserve">ITU-T SG21/Q7</w:t>
      </w:r>
    </w:p>
    <w:p>
      <w:pPr>
        <w:numPr>
          <w:ilvl w:val="0"/>
          <w:numId w:val="1027"/>
        </w:numPr>
      </w:pPr>
      <w:r>
        <w:rPr>
          <w:b/>
          <w:bCs/>
        </w:rPr>
        <w:t xml:space="preserve">Link:</w:t>
      </w:r>
      <w:r>
        <w:t xml:space="preserve"> </w:t>
      </w:r>
      <w:hyperlink r:id="rId70">
        <w:r>
          <w:rPr>
            <w:rStyle w:val="Hyperlink"/>
          </w:rPr>
          <w:t xml:space="preserve">H.VADS</w:t>
        </w:r>
      </w:hyperlink>
    </w:p>
    <w:p>
      <w:pPr>
        <w:numPr>
          <w:ilvl w:val="0"/>
          <w:numId w:val="1027"/>
        </w:numPr>
      </w:pPr>
      <w:r>
        <w:rPr>
          <w:b/>
          <w:bCs/>
        </w:rPr>
        <w:t xml:space="preserve">Status:</w:t>
      </w:r>
      <w:r>
        <w:t xml:space="preserve"> </w:t>
      </w:r>
      <w:r>
        <w:t xml:space="preserve">In progress</w:t>
      </w:r>
    </w:p>
    <w:p>
      <w:pPr>
        <w:numPr>
          <w:ilvl w:val="0"/>
          <w:numId w:val="1027"/>
        </w:numPr>
      </w:pPr>
      <w:r>
        <w:rPr>
          <w:b/>
          <w:bCs/>
        </w:rPr>
        <w:t xml:space="preserve">Media:</w:t>
      </w:r>
      <w:r>
        <w:t xml:space="preserve"> </w:t>
      </w:r>
      <w:r>
        <w:t xml:space="preserve">Video</w:t>
      </w:r>
    </w:p>
    <w:p>
      <w:pPr>
        <w:numPr>
          <w:ilvl w:val="0"/>
          <w:numId w:val="1027"/>
        </w:numPr>
      </w:pPr>
      <w:r>
        <w:rPr>
          <w:b/>
          <w:bCs/>
        </w:rPr>
        <w:t xml:space="preserve">Summary:</w:t>
      </w:r>
      <w:r>
        <w:t xml:space="preserve"> </w:t>
      </w:r>
      <w:r>
        <w:t xml:space="preserve">This Draft Recommendation provides a comprehensive assessment framework for video authenticity detection services. It specifies the requirements, assessment categories, key metrics, and methods to evaluate the capabilities of video authenticity detection services. By establishing a structured, criteria-based approach, this Draft Recommendation would guide the development, evaluation, and selection of reliable and effective video authenticity detection services.</w:t>
      </w:r>
    </w:p>
    <w:bookmarkEnd w:id="71"/>
    <w:bookmarkStart w:id="73" w:name="credible-web"/>
    <w:p>
      <w:pPr>
        <w:pStyle w:val="Heading2"/>
      </w:pPr>
      <w:r>
        <w:t xml:space="preserve">Credible Web</w:t>
      </w:r>
    </w:p>
    <w:p>
      <w:pPr>
        <w:numPr>
          <w:ilvl w:val="0"/>
          <w:numId w:val="1028"/>
        </w:numPr>
      </w:pPr>
      <w:r>
        <w:rPr>
          <w:b/>
          <w:bCs/>
        </w:rPr>
        <w:t xml:space="preserve">SDO/Group:</w:t>
      </w:r>
      <w:r>
        <w:t xml:space="preserve"> </w:t>
      </w:r>
      <w:r>
        <w:t xml:space="preserve">W3C</w:t>
      </w:r>
    </w:p>
    <w:p>
      <w:pPr>
        <w:numPr>
          <w:ilvl w:val="0"/>
          <w:numId w:val="1028"/>
        </w:numPr>
      </w:pPr>
      <w:r>
        <w:rPr>
          <w:b/>
          <w:bCs/>
        </w:rPr>
        <w:t xml:space="preserve">Link:</w:t>
      </w:r>
      <w:r>
        <w:t xml:space="preserve"> </w:t>
      </w:r>
      <w:hyperlink r:id="rId72">
        <w:r>
          <w:rPr>
            <w:rStyle w:val="Hyperlink"/>
          </w:rPr>
          <w:t xml:space="preserve">Cred Web</w:t>
        </w:r>
      </w:hyperlink>
    </w:p>
    <w:p>
      <w:pPr>
        <w:numPr>
          <w:ilvl w:val="0"/>
          <w:numId w:val="1028"/>
        </w:numPr>
      </w:pPr>
      <w:r>
        <w:rPr>
          <w:b/>
          <w:bCs/>
        </w:rPr>
        <w:t xml:space="preserve">Status:</w:t>
      </w:r>
      <w:r>
        <w:t xml:space="preserve"> </w:t>
      </w:r>
      <w:r>
        <w:t xml:space="preserve">In Progress</w:t>
      </w:r>
    </w:p>
    <w:p>
      <w:pPr>
        <w:numPr>
          <w:ilvl w:val="0"/>
          <w:numId w:val="1028"/>
        </w:numPr>
      </w:pPr>
      <w:r>
        <w:rPr>
          <w:b/>
          <w:bCs/>
        </w:rPr>
        <w:t xml:space="preserve">Media:</w:t>
      </w:r>
      <w:r>
        <w:t xml:space="preserve"> </w:t>
      </w:r>
      <w:r>
        <w:t xml:space="preserve">Web pages</w:t>
      </w:r>
    </w:p>
    <w:p>
      <w:pPr>
        <w:numPr>
          <w:ilvl w:val="0"/>
          <w:numId w:val="1028"/>
        </w:numPr>
      </w:pPr>
      <w:r>
        <w:rPr>
          <w:b/>
          <w:bCs/>
        </w:rPr>
        <w:t xml:space="preserve">Summary:</w:t>
      </w:r>
      <w:r>
        <w:t xml:space="preserve"> </w:t>
      </w:r>
      <w:r>
        <w:t xml:space="preserve">The mission of the W3C Credible Web Community Group is to help shift the Web toward more trustworthy content without increasing censorship or social division. We want users to be able to tell when content is reliable, accurate, and shared in good faith, and to help them steer away from deceptive content. At the same time, we affirm the need for users to find the content they want and to interact freely in the communities they choose. To balance any conflict between these goals, we are committed to providing technologies which keep end-users in control of their Web experience.</w:t>
      </w:r>
    </w:p>
    <w:bookmarkEnd w:id="73"/>
    <w:bookmarkStart w:id="75" w:name="Xc7d11d4e977022303fe4977f3b219dd4b48d411"/>
    <w:p>
      <w:pPr>
        <w:pStyle w:val="Heading2"/>
      </w:pPr>
      <w:r>
        <w:t xml:space="preserve">Technical and Governance Guidelines for Responsible Data Collection</w:t>
      </w:r>
    </w:p>
    <w:p>
      <w:pPr>
        <w:numPr>
          <w:ilvl w:val="0"/>
          <w:numId w:val="1029"/>
        </w:numPr>
      </w:pPr>
      <w:r>
        <w:rPr>
          <w:b/>
          <w:bCs/>
        </w:rPr>
        <w:t xml:space="preserve">SDO/Group:</w:t>
      </w:r>
      <w:r>
        <w:t xml:space="preserve"> </w:t>
      </w:r>
      <w:r>
        <w:t xml:space="preserve">Alliance for Responsible Data Collection (ARDC)</w:t>
      </w:r>
    </w:p>
    <w:p>
      <w:pPr>
        <w:numPr>
          <w:ilvl w:val="0"/>
          <w:numId w:val="1029"/>
        </w:numPr>
      </w:pPr>
      <w:r>
        <w:rPr>
          <w:b/>
          <w:bCs/>
        </w:rPr>
        <w:t xml:space="preserve">Link:</w:t>
      </w:r>
      <w:r>
        <w:t xml:space="preserve"> </w:t>
      </w:r>
      <w:hyperlink r:id="rId74">
        <w:r>
          <w:rPr>
            <w:rStyle w:val="Hyperlink"/>
          </w:rPr>
          <w:t xml:space="preserve">Technical and Governance Guidelines for Responsible Data Collection</w:t>
        </w:r>
      </w:hyperlink>
    </w:p>
    <w:p>
      <w:pPr>
        <w:numPr>
          <w:ilvl w:val="0"/>
          <w:numId w:val="1029"/>
        </w:numPr>
      </w:pPr>
      <w:r>
        <w:rPr>
          <w:b/>
          <w:bCs/>
        </w:rPr>
        <w:t xml:space="preserve">Status:</w:t>
      </w:r>
      <w:r>
        <w:t xml:space="preserve"> </w:t>
      </w:r>
      <w:r>
        <w:t xml:space="preserve">Published</w:t>
      </w:r>
    </w:p>
    <w:p>
      <w:pPr>
        <w:numPr>
          <w:ilvl w:val="0"/>
          <w:numId w:val="1029"/>
        </w:numPr>
      </w:pPr>
      <w:r>
        <w:rPr>
          <w:b/>
          <w:bCs/>
        </w:rPr>
        <w:t xml:space="preserve">Media:</w:t>
      </w:r>
      <w:r>
        <w:t xml:space="preserve"> </w:t>
      </w:r>
      <w:r>
        <w:t xml:space="preserve">Data</w:t>
      </w:r>
    </w:p>
    <w:p>
      <w:pPr>
        <w:numPr>
          <w:ilvl w:val="0"/>
          <w:numId w:val="1029"/>
        </w:numPr>
      </w:pPr>
      <w:r>
        <w:rPr>
          <w:b/>
          <w:bCs/>
        </w:rPr>
        <w:t xml:space="preserve">Summary:</w:t>
      </w:r>
      <w:r>
        <w:t xml:space="preserve"> </w:t>
      </w:r>
      <w:r>
        <w:t xml:space="preserve">With the rapid expansion of online digital data, it is critical to establish responsible data collection standards that provide data collectors with guidance on best practices, provide third parties with a reliable means to assess whether the public web data they seek to use has been responsibly sourced, and protect public access to public data. The technical guidelines set forth below are part of a broader framework for responsible data collection that includes important guidelines for data collection governance. As such, all ARDC guidelines must be applied holistically. These standards build upon previous work by the FISD-SIA-Alternative Data Council on Web Data Collection Considerations.</w:t>
      </w:r>
    </w:p>
    <w:bookmarkEnd w:id="75"/>
    <w:bookmarkStart w:id="77" w:name="data-provenance-standards"/>
    <w:p>
      <w:pPr>
        <w:pStyle w:val="Heading2"/>
      </w:pPr>
      <w:r>
        <w:t xml:space="preserve">Data Provenance Standards</w:t>
      </w:r>
    </w:p>
    <w:p>
      <w:pPr>
        <w:numPr>
          <w:ilvl w:val="0"/>
          <w:numId w:val="1030"/>
        </w:numPr>
      </w:pPr>
      <w:r>
        <w:rPr>
          <w:b/>
          <w:bCs/>
        </w:rPr>
        <w:t xml:space="preserve">SDO/Group:</w:t>
      </w:r>
      <w:r>
        <w:t xml:space="preserve"> </w:t>
      </w:r>
      <w:r>
        <w:t xml:space="preserve">Data &amp; Trust Alliance</w:t>
      </w:r>
    </w:p>
    <w:p>
      <w:pPr>
        <w:numPr>
          <w:ilvl w:val="0"/>
          <w:numId w:val="1030"/>
        </w:numPr>
      </w:pPr>
      <w:r>
        <w:rPr>
          <w:b/>
          <w:bCs/>
        </w:rPr>
        <w:t xml:space="preserve">Link:</w:t>
      </w:r>
      <w:r>
        <w:t xml:space="preserve"> </w:t>
      </w:r>
      <w:hyperlink r:id="rId76">
        <w:r>
          <w:rPr>
            <w:rStyle w:val="Hyperlink"/>
          </w:rPr>
          <w:t xml:space="preserve">D&amp;TA Data Provenance Standards v1.0.0</w:t>
        </w:r>
      </w:hyperlink>
    </w:p>
    <w:p>
      <w:pPr>
        <w:numPr>
          <w:ilvl w:val="0"/>
          <w:numId w:val="1030"/>
        </w:numPr>
      </w:pPr>
      <w:r>
        <w:rPr>
          <w:b/>
          <w:bCs/>
        </w:rPr>
        <w:t xml:space="preserve">Status:</w:t>
      </w:r>
      <w:r>
        <w:t xml:space="preserve"> </w:t>
      </w:r>
      <w:r>
        <w:t xml:space="preserve">Published</w:t>
      </w:r>
    </w:p>
    <w:p>
      <w:pPr>
        <w:numPr>
          <w:ilvl w:val="0"/>
          <w:numId w:val="1030"/>
        </w:numPr>
      </w:pPr>
      <w:r>
        <w:rPr>
          <w:b/>
          <w:bCs/>
        </w:rPr>
        <w:t xml:space="preserve">Media:</w:t>
      </w:r>
      <w:r>
        <w:t xml:space="preserve"> </w:t>
      </w:r>
      <w:r>
        <w:t xml:space="preserve">Data</w:t>
      </w:r>
    </w:p>
    <w:p>
      <w:pPr>
        <w:numPr>
          <w:ilvl w:val="0"/>
          <w:numId w:val="1030"/>
        </w:numPr>
      </w:pPr>
      <w:r>
        <w:rPr>
          <w:b/>
          <w:bCs/>
        </w:rPr>
        <w:t xml:space="preserve">Summary:</w:t>
      </w:r>
      <w:r>
        <w:t xml:space="preserve"> </w:t>
      </w:r>
      <w:r>
        <w:t xml:space="preserve">The Data Provenance Standards are a set of guidelines developed by the Data &amp; Trust Alliance to help organizations assess dataset quality, transparency, and legal usability for AI and traditional data applications. The standards aim to provide essential metadata about a dataset’s origin, creation method, and legal usage, with the goal of increasing data trust and reducing risks in AI development.</w:t>
      </w:r>
    </w:p>
    <w:bookmarkEnd w:id="77"/>
    <w:bookmarkStart w:id="79" w:name="X26f69f4e1036a0837bb3f4e77a853bcd9c6efc2"/>
    <w:p>
      <w:pPr>
        <w:pStyle w:val="Heading2"/>
      </w:pPr>
      <w:r>
        <w:t xml:space="preserve">2024—IEEE Draft Standard for Transparent Human and Machine Agency Identification</w:t>
      </w:r>
    </w:p>
    <w:p>
      <w:pPr>
        <w:numPr>
          <w:ilvl w:val="0"/>
          <w:numId w:val="1031"/>
        </w:numPr>
      </w:pPr>
      <w:r>
        <w:rPr>
          <w:b/>
          <w:bCs/>
        </w:rPr>
        <w:t xml:space="preserve">SDO/Group:</w:t>
      </w:r>
      <w:r>
        <w:t xml:space="preserve"> </w:t>
      </w:r>
      <w:r>
        <w:t xml:space="preserve">IEEE</w:t>
      </w:r>
    </w:p>
    <w:p>
      <w:pPr>
        <w:numPr>
          <w:ilvl w:val="0"/>
          <w:numId w:val="1031"/>
        </w:numPr>
      </w:pPr>
      <w:r>
        <w:rPr>
          <w:b/>
          <w:bCs/>
        </w:rPr>
        <w:t xml:space="preserve">Link:</w:t>
      </w:r>
      <w:r>
        <w:t xml:space="preserve"> </w:t>
      </w:r>
      <w:hyperlink r:id="rId78">
        <w:r>
          <w:rPr>
            <w:rStyle w:val="Hyperlink"/>
          </w:rPr>
          <w:t xml:space="preserve">IEEE P3152/D4</w:t>
        </w:r>
      </w:hyperlink>
    </w:p>
    <w:p>
      <w:pPr>
        <w:numPr>
          <w:ilvl w:val="0"/>
          <w:numId w:val="1031"/>
        </w:numPr>
      </w:pPr>
      <w:r>
        <w:rPr>
          <w:b/>
          <w:bCs/>
        </w:rPr>
        <w:t xml:space="preserve">Status:</w:t>
      </w:r>
      <w:r>
        <w:t xml:space="preserve"> </w:t>
      </w:r>
      <w:r>
        <w:t xml:space="preserve">Published</w:t>
      </w:r>
    </w:p>
    <w:p>
      <w:pPr>
        <w:numPr>
          <w:ilvl w:val="0"/>
          <w:numId w:val="1031"/>
        </w:numPr>
      </w:pPr>
      <w:r>
        <w:rPr>
          <w:b/>
          <w:bCs/>
        </w:rPr>
        <w:t xml:space="preserve">Media:</w:t>
      </w:r>
      <w:r>
        <w:t xml:space="preserve"> </w:t>
      </w:r>
      <w:r>
        <w:t xml:space="preserve">Images, Audio</w:t>
      </w:r>
    </w:p>
    <w:p>
      <w:pPr>
        <w:numPr>
          <w:ilvl w:val="0"/>
          <w:numId w:val="1031"/>
        </w:numPr>
      </w:pPr>
      <w:r>
        <w:rPr>
          <w:b/>
          <w:bCs/>
        </w:rPr>
        <w:t xml:space="preserve">Summary:</w:t>
      </w:r>
      <w:r>
        <w:t xml:space="preserve"> </w:t>
      </w:r>
      <w:r>
        <w:t xml:space="preserve">This standard addresses recognizable audio and visual markers that assist humans in distinguishing communication with a human, a machine, or a combination of both. Therefore, the standard defines visual, textual, and auditory marks. This standard does not cover methods to determine whether an interaction is with a machine, such as Turing tests.</w:t>
      </w:r>
    </w:p>
    <w:bookmarkEnd w:id="79"/>
    <w:bookmarkStart w:id="81" w:name="iptc-photo-metadata-standard"/>
    <w:p>
      <w:pPr>
        <w:pStyle w:val="Heading2"/>
      </w:pPr>
      <w:r>
        <w:t xml:space="preserve">IPTC Photo Metadata Standard</w:t>
      </w:r>
    </w:p>
    <w:p>
      <w:pPr>
        <w:numPr>
          <w:ilvl w:val="0"/>
          <w:numId w:val="1032"/>
        </w:numPr>
      </w:pPr>
      <w:r>
        <w:rPr>
          <w:b/>
          <w:bCs/>
        </w:rPr>
        <w:t xml:space="preserve">SDO/Group:</w:t>
      </w:r>
      <w:r>
        <w:t xml:space="preserve"> </w:t>
      </w:r>
      <w:r>
        <w:t xml:space="preserve">IPTC</w:t>
      </w:r>
    </w:p>
    <w:p>
      <w:pPr>
        <w:numPr>
          <w:ilvl w:val="0"/>
          <w:numId w:val="1032"/>
        </w:numPr>
      </w:pPr>
      <w:r>
        <w:rPr>
          <w:b/>
          <w:bCs/>
        </w:rPr>
        <w:t xml:space="preserve">Link:</w:t>
      </w:r>
      <w:r>
        <w:t xml:space="preserve"> </w:t>
      </w:r>
      <w:hyperlink r:id="rId80">
        <w:r>
          <w:rPr>
            <w:rStyle w:val="Hyperlink"/>
          </w:rPr>
          <w:t xml:space="preserve">IPTC Photo Metadata Standard 2024.1</w:t>
        </w:r>
      </w:hyperlink>
    </w:p>
    <w:p>
      <w:pPr>
        <w:numPr>
          <w:ilvl w:val="0"/>
          <w:numId w:val="1032"/>
        </w:numPr>
      </w:pPr>
      <w:r>
        <w:rPr>
          <w:b/>
          <w:bCs/>
        </w:rPr>
        <w:t xml:space="preserve">Status:</w:t>
      </w:r>
      <w:r>
        <w:t xml:space="preserve"> </w:t>
      </w:r>
      <w:r>
        <w:t xml:space="preserve">Published</w:t>
      </w:r>
    </w:p>
    <w:p>
      <w:pPr>
        <w:numPr>
          <w:ilvl w:val="0"/>
          <w:numId w:val="1032"/>
        </w:numPr>
      </w:pPr>
      <w:r>
        <w:rPr>
          <w:b/>
          <w:bCs/>
        </w:rPr>
        <w:t xml:space="preserve">Media:</w:t>
      </w:r>
      <w:r>
        <w:t xml:space="preserve"> </w:t>
      </w:r>
      <w:r>
        <w:t xml:space="preserve">Images, Video</w:t>
      </w:r>
    </w:p>
    <w:p>
      <w:pPr>
        <w:numPr>
          <w:ilvl w:val="0"/>
          <w:numId w:val="1032"/>
        </w:numPr>
      </w:pPr>
      <w:r>
        <w:rPr>
          <w:b/>
          <w:bCs/>
        </w:rPr>
        <w:t xml:space="preserve">Summary:</w:t>
      </w:r>
      <w:r>
        <w:t xml:space="preserve"> </w:t>
      </w:r>
      <w:r>
        <w:t xml:space="preserve">This document specifies metadata properties with a focus on usage with photos, some of these properties are also specified by the IPTC Video Metadata Hub.</w:t>
      </w:r>
    </w:p>
    <w:bookmarkEnd w:id="81"/>
    <w:bookmarkStart w:id="83" w:name="X628cd5b2f78381cf8ac5a444a95855c26d1356d"/>
    <w:p>
      <w:pPr>
        <w:pStyle w:val="Heading2"/>
      </w:pPr>
      <w:r>
        <w:t xml:space="preserve">Dynamic Adaptive Streaming over HTTP (DASH) Part 4: Segment Encryption and Authentication</w:t>
      </w:r>
    </w:p>
    <w:p>
      <w:pPr>
        <w:numPr>
          <w:ilvl w:val="0"/>
          <w:numId w:val="1033"/>
        </w:numPr>
      </w:pPr>
      <w:r>
        <w:rPr>
          <w:b/>
          <w:bCs/>
        </w:rPr>
        <w:t xml:space="preserve">SDO/Group:</w:t>
      </w:r>
      <w:r>
        <w:t xml:space="preserve"> </w:t>
      </w:r>
      <w:r>
        <w:t xml:space="preserve">ISO/IEC JTC 1/SC 29</w:t>
      </w:r>
    </w:p>
    <w:p>
      <w:pPr>
        <w:numPr>
          <w:ilvl w:val="0"/>
          <w:numId w:val="1033"/>
        </w:numPr>
      </w:pPr>
      <w:r>
        <w:rPr>
          <w:b/>
          <w:bCs/>
        </w:rPr>
        <w:t xml:space="preserve">Link:</w:t>
      </w:r>
      <w:r>
        <w:t xml:space="preserve"> </w:t>
      </w:r>
      <w:hyperlink r:id="rId82">
        <w:r>
          <w:rPr>
            <w:rStyle w:val="Hyperlink"/>
          </w:rPr>
          <w:t xml:space="preserve">DASH</w:t>
        </w:r>
      </w:hyperlink>
    </w:p>
    <w:p>
      <w:pPr>
        <w:numPr>
          <w:ilvl w:val="0"/>
          <w:numId w:val="1033"/>
        </w:numPr>
      </w:pPr>
      <w:r>
        <w:rPr>
          <w:b/>
          <w:bCs/>
        </w:rPr>
        <w:t xml:space="preserve">Status:</w:t>
      </w:r>
      <w:r>
        <w:t xml:space="preserve"> </w:t>
      </w:r>
      <w:r>
        <w:t xml:space="preserve">Published</w:t>
      </w:r>
    </w:p>
    <w:p>
      <w:pPr>
        <w:numPr>
          <w:ilvl w:val="0"/>
          <w:numId w:val="1033"/>
        </w:numPr>
      </w:pPr>
      <w:r>
        <w:rPr>
          <w:b/>
          <w:bCs/>
        </w:rPr>
        <w:t xml:space="preserve">Media:</w:t>
      </w:r>
      <w:r>
        <w:t xml:space="preserve"> </w:t>
      </w:r>
      <w:r>
        <w:t xml:space="preserve">Video</w:t>
      </w:r>
    </w:p>
    <w:p>
      <w:pPr>
        <w:numPr>
          <w:ilvl w:val="0"/>
          <w:numId w:val="1033"/>
        </w:numPr>
      </w:pPr>
      <w:r>
        <w:rPr>
          <w:b/>
          <w:bCs/>
        </w:rPr>
        <w:t xml:space="preserve">Summary:</w:t>
      </w:r>
      <w:r>
        <w:t xml:space="preserve"> </w:t>
      </w:r>
      <w:r>
        <w:t xml:space="preserve">This standard introduces encryption and authentication mechanisms at the segment level for adaptive video streaming, which enhances content integrity and protects against tampering during media transmission. It complements existing watermarking and trust/authenticity standards, especially for streaming use cases.</w:t>
      </w:r>
    </w:p>
    <w:bookmarkEnd w:id="83"/>
    <w:bookmarkStart w:id="85" w:name="X716117395678257dc22d773d322766e83a62e89"/>
    <w:p>
      <w:pPr>
        <w:pStyle w:val="Heading2"/>
      </w:pPr>
      <w:r>
        <w:t xml:space="preserve">Recommended Practices for Levels of Artificial Intelligence Generated Content Technologies</w:t>
      </w:r>
    </w:p>
    <w:p>
      <w:pPr>
        <w:numPr>
          <w:ilvl w:val="0"/>
          <w:numId w:val="1034"/>
        </w:numPr>
      </w:pPr>
      <w:r>
        <w:rPr>
          <w:b/>
          <w:bCs/>
        </w:rPr>
        <w:t xml:space="preserve">SDO/Group:</w:t>
      </w:r>
      <w:r>
        <w:t xml:space="preserve"> </w:t>
      </w:r>
      <w:r>
        <w:t xml:space="preserve">IEEE SA</w:t>
      </w:r>
    </w:p>
    <w:p>
      <w:pPr>
        <w:numPr>
          <w:ilvl w:val="0"/>
          <w:numId w:val="1034"/>
        </w:numPr>
      </w:pPr>
      <w:r>
        <w:rPr>
          <w:b/>
          <w:bCs/>
        </w:rPr>
        <w:t xml:space="preserve">Link:</w:t>
      </w:r>
      <w:r>
        <w:t xml:space="preserve"> </w:t>
      </w:r>
      <w:hyperlink r:id="rId84">
        <w:r>
          <w:rPr>
            <w:rStyle w:val="Hyperlink"/>
          </w:rPr>
          <w:t xml:space="preserve">Recommended Practices for Levels of Artificial Intelligence Generated Content Technologies</w:t>
        </w:r>
      </w:hyperlink>
    </w:p>
    <w:p>
      <w:pPr>
        <w:numPr>
          <w:ilvl w:val="0"/>
          <w:numId w:val="1034"/>
        </w:numPr>
      </w:pPr>
      <w:r>
        <w:rPr>
          <w:b/>
          <w:bCs/>
        </w:rPr>
        <w:t xml:space="preserve">Status:</w:t>
      </w:r>
      <w:r>
        <w:t xml:space="preserve"> </w:t>
      </w:r>
      <w:r>
        <w:t xml:space="preserve">Published</w:t>
      </w:r>
    </w:p>
    <w:p>
      <w:pPr>
        <w:numPr>
          <w:ilvl w:val="0"/>
          <w:numId w:val="1034"/>
        </w:numPr>
      </w:pPr>
      <w:r>
        <w:rPr>
          <w:b/>
          <w:bCs/>
        </w:rPr>
        <w:t xml:space="preserve">Media:</w:t>
      </w:r>
      <w:r>
        <w:t xml:space="preserve"> </w:t>
      </w:r>
      <w:r>
        <w:t xml:space="preserve">Any</w:t>
      </w:r>
    </w:p>
    <w:p>
      <w:pPr>
        <w:numPr>
          <w:ilvl w:val="0"/>
          <w:numId w:val="1034"/>
        </w:numPr>
      </w:pPr>
      <w:r>
        <w:rPr>
          <w:b/>
          <w:bCs/>
        </w:rPr>
        <w:t xml:space="preserve">Summary:</w:t>
      </w:r>
      <w:r>
        <w:t xml:space="preserve"> </w:t>
      </w:r>
      <w:r>
        <w:t xml:space="preserve">This recommended practice offers a structured framework for understanding and classifying Artificial Intelligence Generated Content (AIGC). It defines rules and levels of AIGC technologies, outlines recommended practices for their implementation, and provides real-world use cases. This standard is highly relevant to the trust and authenticity domain, as it supports transparent communication of the origin, nature, and reliability of AI-generated content—an increasingly critical aspect of digital media governance.</w:t>
      </w:r>
    </w:p>
    <w:bookmarkEnd w:id="8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2pa.org/specifications/specifications/2.1/specs/C2PA_Specification.html" TargetMode="External" /><Relationship Type="http://schemas.openxmlformats.org/officeDocument/2006/relationships/hyperlink" Id="rId28" Target="https://cawg.io/metadata/1.1/" TargetMode="External" /><Relationship Type="http://schemas.openxmlformats.org/officeDocument/2006/relationships/hyperlink" Id="rId76" Target="https://dataandtrustalliance.org/" TargetMode="External" /><Relationship Type="http://schemas.openxmlformats.org/officeDocument/2006/relationships/hyperlink" Id="rId50" Target="https://datatracker.ietf.org/doc/html/rfc9309" TargetMode="External" /><Relationship Type="http://schemas.openxmlformats.org/officeDocument/2006/relationships/hyperlink" Id="rId40" Target="https://docs.google.com/document/d/1wTFafdHa-o3OYCKmYzEJGROrpSoxXN6DNXPltzdiUzg/edit?pli=1&amp;tab=t.0#heading=h.40o7mijeapa7" TargetMode="External" /><Relationship Type="http://schemas.openxmlformats.org/officeDocument/2006/relationships/hyperlink" Id="rId38" Target="https://journallist.net/reference-document-for-trust-txt-specifications" TargetMode="External" /><Relationship Type="http://schemas.openxmlformats.org/officeDocument/2006/relationships/hyperlink" Id="rId32" Target="https://openprovenance.org/" TargetMode="External" /><Relationship Type="http://schemas.openxmlformats.org/officeDocument/2006/relationships/hyperlink" Id="rId30" Target="https://originator-profile.org/en-US/" TargetMode="External" /><Relationship Type="http://schemas.openxmlformats.org/officeDocument/2006/relationships/hyperlink" Id="rId60" Target="https://pmc.ncbi.nlm.nih.gov/articles/PMC3597963/" TargetMode="External" /><Relationship Type="http://schemas.openxmlformats.org/officeDocument/2006/relationships/hyperlink" Id="rId54" Target="https://pub.smpte.org/pub/st2112-10/st2112-10-2020.pdf" TargetMode="External" /><Relationship Type="http://schemas.openxmlformats.org/officeDocument/2006/relationships/hyperlink" Id="rId74" Target="https://responsibledatacollection.org/" TargetMode="External" /><Relationship Type="http://schemas.openxmlformats.org/officeDocument/2006/relationships/hyperlink" Id="rId48" Target="https://spawning.ai/ai-txt" TargetMode="External" /><Relationship Type="http://schemas.openxmlformats.org/officeDocument/2006/relationships/hyperlink" Id="rId36" Target="https://standards.globalspec.com/std/13059031/itu-t-y-3054" TargetMode="External" /><Relationship Type="http://schemas.openxmlformats.org/officeDocument/2006/relationships/hyperlink" Id="rId64" Target="https://standards.ieee.org/ieee/3361/11224/" TargetMode="External" /><Relationship Type="http://schemas.openxmlformats.org/officeDocument/2006/relationships/hyperlink" Id="rId84" Target="https://standards.ieee.org/ieee/3429/11490/" TargetMode="External" /><Relationship Type="http://schemas.openxmlformats.org/officeDocument/2006/relationships/hyperlink" Id="rId78" Target="https://store.accuristech.com/standards/ieee-p3152?product_id=2918804" TargetMode="External" /><Relationship Type="http://schemas.openxmlformats.org/officeDocument/2006/relationships/hyperlink" Id="rId44" Target="https://www.din.de/en/din-and-our-partners/press/press-releases/iwa-44-unique-media-identifier-umid-1189784" TargetMode="External" /><Relationship Type="http://schemas.openxmlformats.org/officeDocument/2006/relationships/hyperlink" Id="rId52" Target="https://www.ietf.org/archive/id/draft-ietf-aipref-vocab-00.html" TargetMode="External" /><Relationship Type="http://schemas.openxmlformats.org/officeDocument/2006/relationships/hyperlink" Id="rId80" Target="https://www.iptc.org/std/photometadata/specification/IPTC-PhotoMetadata" TargetMode="External" /><Relationship Type="http://schemas.openxmlformats.org/officeDocument/2006/relationships/hyperlink" Id="rId62" Target="https://www.iso.org/standard/40487.html" TargetMode="External" /><Relationship Type="http://schemas.openxmlformats.org/officeDocument/2006/relationships/hyperlink" Id="rId82" Target="https://www.iso.org/standard/73603.html" TargetMode="External" /><Relationship Type="http://schemas.openxmlformats.org/officeDocument/2006/relationships/hyperlink" Id="rId34" Target="https://www.iso.org/standard/77608.html?browse=tc" TargetMode="External" /><Relationship Type="http://schemas.openxmlformats.org/officeDocument/2006/relationships/hyperlink" Id="rId42" Target="https://www.iso.org/standard/77899.html" TargetMode="External" /><Relationship Type="http://schemas.openxmlformats.org/officeDocument/2006/relationships/hyperlink" Id="rId58" Target="https://www.iso.org/standard/84956.html" TargetMode="External" /><Relationship Type="http://schemas.openxmlformats.org/officeDocument/2006/relationships/hyperlink" Id="rId24" Target="https://www.iso.org/standard/86831.html" TargetMode="External" /><Relationship Type="http://schemas.openxmlformats.org/officeDocument/2006/relationships/hyperlink" Id="rId22" Target="https://www.iso.org/standard/90726.html" TargetMode="External" /><Relationship Type="http://schemas.openxmlformats.org/officeDocument/2006/relationships/hyperlink" Id="rId70" Target="https://www.itu.int/ITU-T/workprog/wp_item.aspx?isn=22161" TargetMode="External" /><Relationship Type="http://schemas.openxmlformats.org/officeDocument/2006/relationships/hyperlink" Id="rId68" Target="https://www.itu.int/itu-t/workprog/wp_item.aspx?isn=21058" TargetMode="External" /><Relationship Type="http://schemas.openxmlformats.org/officeDocument/2006/relationships/hyperlink" Id="rId66" Target="https://www.itu.int/itu-t/workprog/wp_item.aspx?isn=21141" TargetMode="External" /><Relationship Type="http://schemas.openxmlformats.org/officeDocument/2006/relationships/hyperlink" Id="rId56" Target="https://www.itu.int/md/T22-SG17-240902-TD-PLEN-2413/en" TargetMode="External" /><Relationship Type="http://schemas.openxmlformats.org/officeDocument/2006/relationships/hyperlink" Id="rId72" Target="https://www.w3.org/community/credibility/" TargetMode="External" /><Relationship Type="http://schemas.openxmlformats.org/officeDocument/2006/relationships/hyperlink" Id="rId46" Target="https://www.w3.org/ns/tdmrep/" TargetMode="External" /></Relationships>
</file>

<file path=word/_rels/footnotes.xml.rels><?xml version="1.0" encoding="UTF-8"?><Relationships xmlns="http://schemas.openxmlformats.org/package/2006/relationships"><Relationship Type="http://schemas.openxmlformats.org/officeDocument/2006/relationships/hyperlink" Id="rId20" Target="https://c2pa.org/specifications/specifications/2.1/specs/C2PA_Specification.html" TargetMode="External" /><Relationship Type="http://schemas.openxmlformats.org/officeDocument/2006/relationships/hyperlink" Id="rId28" Target="https://cawg.io/metadata/1.1/" TargetMode="External" /><Relationship Type="http://schemas.openxmlformats.org/officeDocument/2006/relationships/hyperlink" Id="rId76" Target="https://dataandtrustalliance.org/" TargetMode="External" /><Relationship Type="http://schemas.openxmlformats.org/officeDocument/2006/relationships/hyperlink" Id="rId50" Target="https://datatracker.ietf.org/doc/html/rfc9309" TargetMode="External" /><Relationship Type="http://schemas.openxmlformats.org/officeDocument/2006/relationships/hyperlink" Id="rId40" Target="https://docs.google.com/document/d/1wTFafdHa-o3OYCKmYzEJGROrpSoxXN6DNXPltzdiUzg/edit?pli=1&amp;tab=t.0#heading=h.40o7mijeapa7" TargetMode="External" /><Relationship Type="http://schemas.openxmlformats.org/officeDocument/2006/relationships/hyperlink" Id="rId38" Target="https://journallist.net/reference-document-for-trust-txt-specifications" TargetMode="External" /><Relationship Type="http://schemas.openxmlformats.org/officeDocument/2006/relationships/hyperlink" Id="rId32" Target="https://openprovenance.org/" TargetMode="External" /><Relationship Type="http://schemas.openxmlformats.org/officeDocument/2006/relationships/hyperlink" Id="rId30" Target="https://originator-profile.org/en-US/" TargetMode="External" /><Relationship Type="http://schemas.openxmlformats.org/officeDocument/2006/relationships/hyperlink" Id="rId60" Target="https://pmc.ncbi.nlm.nih.gov/articles/PMC3597963/" TargetMode="External" /><Relationship Type="http://schemas.openxmlformats.org/officeDocument/2006/relationships/hyperlink" Id="rId54" Target="https://pub.smpte.org/pub/st2112-10/st2112-10-2020.pdf" TargetMode="External" /><Relationship Type="http://schemas.openxmlformats.org/officeDocument/2006/relationships/hyperlink" Id="rId74" Target="https://responsibledatacollection.org/" TargetMode="External" /><Relationship Type="http://schemas.openxmlformats.org/officeDocument/2006/relationships/hyperlink" Id="rId48" Target="https://spawning.ai/ai-txt" TargetMode="External" /><Relationship Type="http://schemas.openxmlformats.org/officeDocument/2006/relationships/hyperlink" Id="rId36" Target="https://standards.globalspec.com/std/13059031/itu-t-y-3054" TargetMode="External" /><Relationship Type="http://schemas.openxmlformats.org/officeDocument/2006/relationships/hyperlink" Id="rId64" Target="https://standards.ieee.org/ieee/3361/11224/" TargetMode="External" /><Relationship Type="http://schemas.openxmlformats.org/officeDocument/2006/relationships/hyperlink" Id="rId84" Target="https://standards.ieee.org/ieee/3429/11490/" TargetMode="External" /><Relationship Type="http://schemas.openxmlformats.org/officeDocument/2006/relationships/hyperlink" Id="rId78" Target="https://store.accuristech.com/standards/ieee-p3152?product_id=2918804" TargetMode="External" /><Relationship Type="http://schemas.openxmlformats.org/officeDocument/2006/relationships/hyperlink" Id="rId44" Target="https://www.din.de/en/din-and-our-partners/press/press-releases/iwa-44-unique-media-identifier-umid-1189784" TargetMode="External" /><Relationship Type="http://schemas.openxmlformats.org/officeDocument/2006/relationships/hyperlink" Id="rId52" Target="https://www.ietf.org/archive/id/draft-ietf-aipref-vocab-00.html" TargetMode="External" /><Relationship Type="http://schemas.openxmlformats.org/officeDocument/2006/relationships/hyperlink" Id="rId80" Target="https://www.iptc.org/std/photometadata/specification/IPTC-PhotoMetadata" TargetMode="External" /><Relationship Type="http://schemas.openxmlformats.org/officeDocument/2006/relationships/hyperlink" Id="rId62" Target="https://www.iso.org/standard/40487.html" TargetMode="External" /><Relationship Type="http://schemas.openxmlformats.org/officeDocument/2006/relationships/hyperlink" Id="rId82" Target="https://www.iso.org/standard/73603.html" TargetMode="External" /><Relationship Type="http://schemas.openxmlformats.org/officeDocument/2006/relationships/hyperlink" Id="rId34" Target="https://www.iso.org/standard/77608.html?browse=tc" TargetMode="External" /><Relationship Type="http://schemas.openxmlformats.org/officeDocument/2006/relationships/hyperlink" Id="rId42" Target="https://www.iso.org/standard/77899.html" TargetMode="External" /><Relationship Type="http://schemas.openxmlformats.org/officeDocument/2006/relationships/hyperlink" Id="rId58" Target="https://www.iso.org/standard/84956.html" TargetMode="External" /><Relationship Type="http://schemas.openxmlformats.org/officeDocument/2006/relationships/hyperlink" Id="rId24" Target="https://www.iso.org/standard/86831.html" TargetMode="External" /><Relationship Type="http://schemas.openxmlformats.org/officeDocument/2006/relationships/hyperlink" Id="rId22" Target="https://www.iso.org/standard/90726.html" TargetMode="External" /><Relationship Type="http://schemas.openxmlformats.org/officeDocument/2006/relationships/hyperlink" Id="rId70" Target="https://www.itu.int/ITU-T/workprog/wp_item.aspx?isn=22161" TargetMode="External" /><Relationship Type="http://schemas.openxmlformats.org/officeDocument/2006/relationships/hyperlink" Id="rId68" Target="https://www.itu.int/itu-t/workprog/wp_item.aspx?isn=21058" TargetMode="External" /><Relationship Type="http://schemas.openxmlformats.org/officeDocument/2006/relationships/hyperlink" Id="rId66" Target="https://www.itu.int/itu-t/workprog/wp_item.aspx?isn=21141" TargetMode="External" /><Relationship Type="http://schemas.openxmlformats.org/officeDocument/2006/relationships/hyperlink" Id="rId56" Target="https://www.itu.int/md/T22-SG17-240902-TD-PLEN-2413/en" TargetMode="External" /><Relationship Type="http://schemas.openxmlformats.org/officeDocument/2006/relationships/hyperlink" Id="rId72" Target="https://www.w3.org/community/credibility/" TargetMode="External" /><Relationship Type="http://schemas.openxmlformats.org/officeDocument/2006/relationships/hyperlink" Id="rId46" Target="https://www.w3.org/ns/tdmr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2025-05-27T19:24:52Z</dcterms:created>
  <dcterms:modified xsi:type="dcterms:W3CDTF">2025-05-27T19:24:52Z</dcterms:modified>
</cp:coreProperties>
</file>

<file path=docProps/custom.xml><?xml version="1.0" encoding="utf-8"?>
<Properties xmlns="http://schemas.openxmlformats.org/officeDocument/2006/custom-properties" xmlns:vt="http://schemas.openxmlformats.org/officeDocument/2006/docPropsVTypes"/>
</file>