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Publication Date:</w:t>
      </w:r>
      <w:r>
        <w:t xml:space="preserve"> </w:t>
      </w:r>
      <w:r>
        <w:t xml:space="preserve">2025</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Publication Date:</w:t>
      </w:r>
      <w:r>
        <w:t xml:space="preserve"> </w:t>
      </w:r>
      <w:r>
        <w:t xml:space="preserve">2025</w:t>
      </w:r>
    </w:p>
    <w:p>
      <w:pPr>
        <w:numPr>
          <w:ilvl w:val="0"/>
          <w:numId w:val="1003"/>
        </w:numPr>
      </w:pPr>
      <w:r>
        <w:rPr>
          <w:b/>
          <w:bCs/>
        </w:rPr>
        <w:t xml:space="preserve">Media:</w:t>
      </w:r>
      <w:r>
        <w:t xml:space="preserve"> </w:t>
      </w:r>
      <w:r>
        <w:t xml:space="preserve">Any (image focused)</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(image focused)</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Publication Date:</w:t>
      </w:r>
      <w:r>
        <w:t xml:space="preserve"> </w:t>
      </w:r>
      <w:r>
        <w:t xml:space="preserve">2025</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Publication Date:</w:t>
      </w:r>
      <w:r>
        <w:t xml:space="preserve"> </w:t>
      </w:r>
      <w:r>
        <w:t xml:space="preserve">2013</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4fb43e2a8158fefd55a6e630e3f611321c59f16"/>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Publication Date:</w:t>
      </w:r>
      <w:r>
        <w:t xml:space="preserve"> </w:t>
      </w:r>
      <w:r>
        <w:t xml:space="preserve">2020</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Publication Date:</w:t>
      </w:r>
      <w:r>
        <w:t xml:space="preserve"> </w:t>
      </w:r>
      <w:r>
        <w:t xml:space="preserve">2018</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24138:2024</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Publication Date:</w:t>
      </w:r>
      <w:r>
        <w:t xml:space="preserve"> </w:t>
      </w:r>
      <w:r>
        <w:t xml:space="preserve">2024</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Publication Date:</w:t>
      </w:r>
      <w:r>
        <w:t xml:space="preserve"> </w:t>
      </w:r>
      <w:r>
        <w:t xml:space="preserve">2024</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Publication Date:</w:t>
      </w:r>
      <w:r>
        <w:t xml:space="preserve"> </w:t>
      </w:r>
      <w:r>
        <w:t xml:space="preserve">2024</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Publication Date:</w:t>
      </w:r>
      <w:r>
        <w:t xml:space="preserve"> </w:t>
      </w:r>
      <w:r>
        <w:t xml:space="preserve">2023</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Publication Date:</w:t>
      </w:r>
      <w:r>
        <w:t xml:space="preserve"> </w:t>
      </w:r>
      <w:r>
        <w:t xml:space="preserve">2020</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Publication Date:</w:t>
      </w:r>
      <w:r>
        <w:t xml:space="preserve"> </w:t>
      </w:r>
      <w:r>
        <w:t xml:space="preserve">2024</w:t>
      </w:r>
    </w:p>
    <w:p>
      <w:pPr>
        <w:numPr>
          <w:ilvl w:val="0"/>
          <w:numId w:val="1020"/>
        </w:numPr>
      </w:pPr>
      <w:r>
        <w:rPr>
          <w:b/>
          <w:bCs/>
        </w:rPr>
        <w:t xml:space="preserve">Media:</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6cc1cfd4c78e4b6e334268b87f7e50295f558b3"/>
    <w:p>
      <w:pPr>
        <w:pStyle w:val="Heading2"/>
      </w:pPr>
      <w:r>
        <w:t xml:space="preserve">DRM technology for digital publications 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Publication Date:</w:t>
      </w:r>
      <w:r>
        <w:t xml:space="preserve"> </w:t>
      </w:r>
      <w:r>
        <w:t xml:space="preserve">2024</w:t>
      </w:r>
    </w:p>
    <w:p>
      <w:pPr>
        <w:numPr>
          <w:ilvl w:val="0"/>
          <w:numId w:val="1021"/>
        </w:numPr>
      </w:pPr>
      <w:r>
        <w:rPr>
          <w:b/>
          <w:bCs/>
        </w:rPr>
        <w:t xml:space="preserve">Media:</w:t>
      </w:r>
      <w:r>
        <w:t xml:space="preserve"> </w:t>
      </w:r>
      <w:r>
        <w:t xml:space="preserve">EPUB,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Publication Date:</w:t>
      </w:r>
      <w:r>
        <w:t xml:space="preserve"> </w:t>
      </w:r>
      <w:r>
        <w:t xml:space="preserve">2012</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c0d45aceef14e8f50da6cecb6a0e37b5b3d3413"/>
    <w:p>
      <w:pPr>
        <w:pStyle w:val="Heading2"/>
      </w:pPr>
      <w:r>
        <w:t xml:space="preserve">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Publication Date:</w:t>
      </w:r>
      <w:r>
        <w:t xml:space="preserve"> </w:t>
      </w:r>
      <w:r>
        <w:t xml:space="preserve">2004</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Publication Date:</w:t>
      </w:r>
      <w:r>
        <w:t xml:space="preserve"> </w:t>
      </w:r>
      <w:r>
        <w:t xml:space="preserve">2024</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Publication Date:</w:t>
      </w:r>
      <w:r>
        <w:t xml:space="preserve"> </w:t>
      </w:r>
      <w:r>
        <w:t xml:space="preserve">2024</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042a453bdc818f20f5a6ed69a8fbcbe9f3422d1"/>
    <w:p>
      <w:pPr>
        <w:pStyle w:val="Heading2"/>
      </w:pPr>
      <w:r>
        <w:t xml:space="preserve">IEEE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3152-2024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Publication Date:</w:t>
      </w:r>
      <w:r>
        <w:t xml:space="preserve"> </w:t>
      </w:r>
      <w:r>
        <w:t xml:space="preserve">2024</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Publication Date:</w:t>
      </w:r>
      <w:r>
        <w:t xml:space="preserve"> </w:t>
      </w:r>
      <w:r>
        <w:t xml:space="preserve">2024</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0589a4bba1f521ceecb98bf515274a7ed766d1c"/>
    <w:p>
      <w:pPr>
        <w:pStyle w:val="Heading2"/>
      </w:pPr>
      <w:r>
        <w:t xml:space="preserve">DASH -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ISO/IEC 23009-4:2018</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Publication Date:</w:t>
      </w:r>
      <w:r>
        <w:t xml:space="preserve"> </w:t>
      </w:r>
      <w:r>
        <w:t xml:space="preserve">2018</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P3429</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Publication Date:</w:t>
      </w:r>
      <w:r>
        <w:t xml:space="preserve"> </w:t>
      </w:r>
      <w:r>
        <w:t xml:space="preserve">2023</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2/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resource/blob/1189854/d8282af953803e9ca844c02f468e151c/iwa-44-draft-public-consultation-data.pdf"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2/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resource/blob/1189854/d8282af953803e9ca844c02f468e151c/iwa-44-draft-public-consultation-data.pdf"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2025-05-27T22:14:23Z</dcterms:created>
  <dcterms:modified xsi:type="dcterms:W3CDTF">2025-05-27T22:14:23Z</dcterms:modified>
</cp:coreProperties>
</file>

<file path=docProps/custom.xml><?xml version="1.0" encoding="utf-8"?>
<Properties xmlns="http://schemas.openxmlformats.org/officeDocument/2006/custom-properties" xmlns:vt="http://schemas.openxmlformats.org/officeDocument/2006/docPropsVTypes"/>
</file>