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Images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Web pages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Credentials (C2PA)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1: Core foundation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2: Trust profiles catalog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3: Media asset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CAWG 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Originator Profile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Overview of trustworthiness in artificial intelligence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for trust-based media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Trust.txt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Chromium Reputation Provider Framework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ISCC: International Standard Content Code (ISCC)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Media Identifier (GMI)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TDM Reservation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Robots Exclusion 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Vocabulary for expressing AI usage preferences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Binding of Content Identifiers (OBID)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X.ig-dw: Implementation guidelines for digital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DRM technology for digital publications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1: Overview of copyright protection technologies in use in the publishing industry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Draft Standard for Evaluation Method 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of Digital Watermarking Implementation in Digital Contents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for authentication of multimedia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H.274(V4):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Versatile supplemental enhancement information messages for coded video bitstreams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H.VADS: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Assessment criteria for video authenticity detection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Credible Web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and Governance Guidelines for Responsible Data Collection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Provenance Standards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Standard for Transparent Human and Machine Agency Identification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IPTC Photo Metadata Standard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 - Part 4: Segment Encryption and Authentication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 Practices for Levels of Artificial Intelligence Generated Content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CAWG Identity Assertion 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W3C Verifiable Credentials Data Model v2.0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AI 100-4: Reducing Risks Posed by Synthetic Content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MPEG-21 Part 3: Digital Item Identification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Cybersecurity technology—Labeling method for content generated by artificial intelligence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ITU-T Recommendation X.2210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HSTP-MMAuth: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Multimedia authentication framework, workflows and procedures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Binding of Content Identifiers - Resilient Layer (OBID-R)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Metadata Scheme for Identity and Integrity (DMS-II)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Metadata Scheme for Identity and Integrity JUMBF 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Journalism Trust Initiative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2026-06-19T13:24:47Z</dcterms:created>
  <dcterms:modified xsi:type="dcterms:W3CDTF">2026-06-19T13:24:47Z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