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Expert Deep Dive: EDA Workloads on HPC</w:t>
      </w:r>
    </w:p>
    <w:p>
      <w:r>
        <w:rPr>
          <w:b/>
        </w:rPr>
        <w:t xml:space="preserve">Audience: </w:t>
      </w:r>
      <w:r>
        <w:t>Senior IC design, CAD, and HPC platform engineers who need practical guidance to scale EDA flows.</w:t>
      </w:r>
    </w:p>
    <w:p>
      <w:pPr>
        <w:pStyle w:val="Heading2"/>
      </w:pPr>
      <w:r>
        <w:t>1) EDA Workload Taxonomy with Scale Indicators</w:t>
      </w:r>
    </w:p>
    <w:p>
      <w:r>
        <w:t>Digital Front‑End and Verification:</w:t>
        <w:br/>
        <w:t>• RTL simulation and UVM regressions: 10k–1M tests per night; 1–8 cores/test; minutes to hours each.</w:t>
        <w:br/>
        <w:t>• Gate‑level simulation with SDF: 4–32 cores/test; heavy I/O for waveforms; runtime 2–24 hours.</w:t>
        <w:br/>
        <w:t>• Formal verification (property and equivalence): CPU bound; scales via many independent proofs.</w:t>
        <w:br/>
        <w:br/>
        <w:t>Physical Implementation:</w:t>
        <w:br/>
        <w:t>• Synthesis: CPU bound; 32–128 cores/job; 64–512 GB RAM per block.</w:t>
        <w:br/>
        <w:t>• Place &amp; Route: memory bound; 64–256 cores/job; 256 GB–1 TB RAM; strong scratch I/O.</w:t>
        <w:br/>
        <w:t>• Clock/CTS and optimization: mixed CPU/memory; benefits from fast per‑node NVMe.</w:t>
        <w:br/>
        <w:br/>
        <w:t>Sign‑off and DFM:</w:t>
        <w:br/>
        <w:t>• STA (MMMC): thousands of corners/modes; embarrassingly parallel across views; 8–32 cores/run.</w:t>
        <w:br/>
        <w:t>• Parasitic extraction and IR/EM: solver heavy; may use GPUs; 64–512 GB RAM; long walltimes.</w:t>
        <w:br/>
        <w:t>• DRC/LVS: geometric tiling; 500–5000 cores total for flat top‑level; terabyte‑scale GDS/OASIS.</w:t>
        <w:br/>
        <w:br/>
        <w:t>Analog/Mixed‑Signal:</w:t>
        <w:br/>
        <w:t>• SPICE/FastSPICE: CPU bound with optional GPU acceleration; large sparse matrices; days→hours with partitioning.</w:t>
        <w:br/>
        <w:t>• EM/Si/thermal: 3D field solvers; benefit from GPU nodes and fast interconnect.</w:t>
        <w:br/>
        <w:br/>
        <w:t>Packaging/3DIC:</w:t>
        <w:br/>
        <w:t>• Co‑analysis across chiplets and interposers; thermal/mechanical coupling; large meshes and databases.</w:t>
      </w:r>
    </w:p>
    <w:p>
      <w:pPr>
        <w:pStyle w:val="Heading2"/>
      </w:pPr>
      <w:r>
        <w:t>2) Mapping EDA to HPC Parallelization Patterns</w:t>
      </w:r>
    </w:p>
    <w:p>
      <w:r>
        <w:t>• Embarrassingly parallel: test regressions, STA views, Monte Carlo corners. Use job arrays and quota controls.</w:t>
        <w:br/>
        <w:t>• Data partitioning (tiling/striping): DRC/OPC/Litho, extraction. Balance tile size vs halo overlap.</w:t>
        <w:br/>
        <w:t>• Hierarchical decomposition: block‑level P&amp;R and STA; promote only deltas to top level.</w:t>
        <w:br/>
        <w:t>• MPI/distributed solvers: EM/thermal and some extraction. Require low‑latency fabric and CPU affinity.</w:t>
        <w:br/>
        <w:t>• Pipeline parallelism: synth → P&amp;R → STA → sign‑off with dependencies to maximize throughput.</w:t>
      </w:r>
    </w:p>
    <w:p>
      <w:pPr>
        <w:pStyle w:val="Heading2"/>
      </w:pPr>
      <w:r>
        <w:t>3) License Engineering and Scheduler Integration</w:t>
      </w:r>
    </w:p>
    <w:p>
      <w:r>
        <w:t>• Central FlexLM/RLM servers with HA (dual servers, VIP). Monitor token pools and denial rates.</w:t>
        <w:br/>
        <w:t>• License‑aware scheduling: submit wrappers that block until tokens are available to avoid thrash.</w:t>
        <w:br/>
        <w:t>• Bin‑packing: co‑schedule jobs that consume different feature bundles to raise utilization.</w:t>
        <w:br/>
        <w:t>• Quotas and fair‑share: per‑team token caps, borrow windows, and preemption for tapeout queues.</w:t>
        <w:br/>
        <w:t>• Back‑off and retry: exponential back‑off for token checkout to reduce server load.</w:t>
      </w:r>
    </w:p>
    <w:p>
      <w:pPr>
        <w:pStyle w:val="Heading2"/>
      </w:pPr>
      <w:r>
        <w:t>4) Storage and I/O Engineering for EDA</w:t>
      </w:r>
    </w:p>
    <w:p>
      <w:r>
        <w:t>Parallel Filesystems:</w:t>
        <w:br/>
        <w:t>• Lustre/GPFS/BeeGFS for shared design DBs. Stripe large read‑mostly files across many targets.</w:t>
        <w:br/>
        <w:t>• Typical starting points: stripe_count 8–32; stripe_size 1–8 MB for multi‑GB layout.</w:t>
        <w:br/>
        <w:t>• Separate metadata from data. Avoid metadata storms with job‑level temp dirs and batched file creation.</w:t>
        <w:br/>
        <w:br/>
        <w:t>Per‑Node Scratch and Caching:</w:t>
        <w:br/>
        <w:t>• Use local NVMe for scratch/work; copy‑on‑write back to PFS at milestones.</w:t>
        <w:br/>
        <w:t>• Compress and roll waveforms (FSDB/VCD/FST) and logs; set retention windows.</w:t>
        <w:br/>
        <w:br/>
        <w:t>Small‑file Problem:</w:t>
        <w:br/>
        <w:t>• Bundle tiny artifacts into tar archives or SQLite/LMDB packs to reduce inode pressure.</w:t>
        <w:br/>
        <w:t>• Prefer append‑only logs and chunked artifacts to help the PFS prefetcher.</w:t>
        <w:br/>
        <w:br/>
        <w:t>Tuning Examples:</w:t>
        <w:br/>
        <w:t>• Increase client read‑ahead and I/O queue depth for large sequential scans.</w:t>
        <w:br/>
        <w:t>• Pin hot reference data (PDKs, techfiles) on a read‑only cache tier.</w:t>
      </w:r>
    </w:p>
    <w:p>
      <w:pPr>
        <w:pStyle w:val="Heading2"/>
      </w:pPr>
      <w:r>
        <w:t>5) Network and Host‑Stack Tuning</w:t>
      </w:r>
    </w:p>
    <w:p>
      <w:r>
        <w:t>• Use InfiniBand HDR/NDR or tuned RoCEv2 for distributed solvers. Verify ECN/PFC only where needed.</w:t>
        <w:br/>
        <w:t>• NUMA and CPU pinning: bind MPI ranks to cores; isolate NIC IRQs; reserve housekeeping cores.</w:t>
        <w:br/>
        <w:t>• TCP settings (when applicable): adequate rmem/wmem, autotuning on; avoid bufferbloat.</w:t>
        <w:br/>
        <w:t>• For GPU‑direct RDMA workflows, validate driver/firmware compatibility and IOMMU settings.</w:t>
      </w:r>
    </w:p>
    <w:p>
      <w:pPr>
        <w:pStyle w:val="Heading2"/>
      </w:pPr>
      <w:r>
        <w:t>6) Scheduler Policies and Queue Design (Slurm/LSF/PBS)</w:t>
      </w:r>
    </w:p>
    <w:p>
      <w:r>
        <w:t>• Queues by workload class: interactive debug, normal, tapeout‑priority, long‑running solvers.</w:t>
        <w:br/>
        <w:t>• Backfill and reservations to protect critical milestones.</w:t>
        <w:br/>
        <w:t>• Multi‑resource requests: CPUs, RAM, GPUs, scratch size, and IOPS as consumable resources.</w:t>
        <w:br/>
        <w:t>• Job arrays with per‑user concurrency caps to protect storage and license servers.</w:t>
        <w:br/>
        <w:t>• Checkpoint/restart hooks and automatic requeue on node failure.</w:t>
      </w:r>
    </w:p>
    <w:p>
      <w:pPr>
        <w:pStyle w:val="Heading2"/>
      </w:pPr>
      <w:r>
        <w:t>7) Cloud HPC Patterns for EDA</w:t>
      </w:r>
    </w:p>
    <w:p>
      <w:r>
        <w:t>• Data gravity: use cloud‑native PFS (FSx for Lustre, Azure NetApp Files, OCI File Storage) near compute.</w:t>
        <w:br/>
        <w:t>• Cache warm‑up: stage PDKs, libraries, and golden DBs into read‑only caches or AMIs/images.</w:t>
        <w:br/>
        <w:t>• Spot/preemptible strategy: enable checkpointing; mix on‑demand for license‑heavy jobs.</w:t>
        <w:br/>
        <w:t>• Hybrid licensing: token splitting between on‑prem and cloud with entitlement guardrails.</w:t>
        <w:br/>
        <w:t>• Cost controls: per‑flow budgets, idle‑shutdown of burst fleets, and artifact TTL policies.</w:t>
      </w:r>
    </w:p>
    <w:p>
      <w:pPr>
        <w:pStyle w:val="Heading2"/>
      </w:pPr>
      <w:r>
        <w:t>8) Security and Compliance for Foundry and IP Assets</w:t>
      </w:r>
    </w:p>
    <w:p>
      <w:r>
        <w:t>• Isolate tenants by team or program using separate projects/VPCs and RBAC.</w:t>
        <w:br/>
        <w:t>• Encrypt at rest and in transit; store PDKs and decks in controlled repositories with audit trails.</w:t>
        <w:br/>
        <w:t>• Just‑in‑time access, short‑lived credentials, and secrets vaulting; log all artifact exports.</w:t>
        <w:br/>
        <w:t>• Reproducible flows: pinned tool versions and container images; hash design baselines.</w:t>
      </w:r>
    </w:p>
    <w:p>
      <w:pPr>
        <w:pStyle w:val="Heading2"/>
      </w:pPr>
      <w:r>
        <w:t>9) Observability, SLOs, and Bottleneck Triage</w:t>
      </w:r>
    </w:p>
    <w:p>
      <w:r>
        <w:t>• Capture per‑job CPU, memory, I/O, and license wait times; surface in Grafana.</w:t>
        <w:br/>
        <w:t>• SLOs: time‑to‑first‑useful‑result, regression throughput, queue wait targets by class.</w:t>
        <w:br/>
        <w:t>• Golden dashboards: license denials, metadata ops/sec, OSS/OST utilization, top talkers.</w:t>
        <w:br/>
        <w:t>• Auto‑triage: detect I/O saturation vs CPU starvation and suggest queue or resource changes.</w:t>
      </w:r>
    </w:p>
    <w:p>
      <w:pPr>
        <w:pStyle w:val="Heading2"/>
      </w:pPr>
      <w:r>
        <w:t>10) Cost and Capacity Planning Cheatsheet</w:t>
      </w:r>
    </w:p>
    <w:p>
      <w:r>
        <w:t>Concurrency Model:</w:t>
        <w:br/>
        <w:t>• Required cores ≈ (tests_per_day × avg_cores_per_test × avg_runtime_hours) / 24.</w:t>
        <w:br/>
        <w:t>• License ceiling: concurrent jobs limited by token pool. Track peak token‑minutes.</w:t>
        <w:br/>
        <w:br/>
        <w:t>Storage Model:</w:t>
        <w:br/>
        <w:t>• Daily ingest ≈ (#jobs × avg_artifact_size). Keep hot data window small; push cold data to object storage.</w:t>
        <w:br/>
        <w:t>• PFS throughput target: sum of busiest N jobs sequential read/write rates + 30% headroom.</w:t>
      </w:r>
    </w:p>
    <w:p>
      <w:pPr>
        <w:pStyle w:val="Heading2"/>
      </w:pPr>
      <w:r>
        <w:t>11) Case Study: 5 nm SoC Sign‑off Acceleration</w:t>
      </w:r>
    </w:p>
    <w:p>
      <w:r>
        <w:t>Context: 80M‑instance SoC, flat top‑level DRC/LVS and multi‑corner STA on a mixed on‑prem + cloud cluster.</w:t>
        <w:br/>
        <w:t>Interventions:</w:t>
        <w:br/>
        <w:t>• Split DRC deck into tiles with 10% halo; tuned tile size to keep CPU utilization &gt;85%.</w:t>
        <w:br/>
        <w:t>• Moved waveforms to per‑node NVMe; compressed and pruned to 72‑hour retention.</w:t>
        <w:br/>
        <w:t>• Increased Lustre stripe_count from 8→24 on large GDS/OAS; set stripe_size to 4 MB.</w:t>
        <w:br/>
        <w:t>• License‑aware submit wrapper reduced denial retries by 60%.</w:t>
        <w:br/>
        <w:t>Outcome: 37% reduction in wall clock for sign‑off, 45% cut in storage hotspots, stable license server load.</w:t>
      </w:r>
    </w:p>
    <w:p>
      <w:pPr>
        <w:pStyle w:val="Heading2"/>
      </w:pPr>
      <w:r>
        <w:t>12) Emerging Techniques You Can Pilot Now</w:t>
      </w:r>
    </w:p>
    <w:p>
      <w:r>
        <w:t>• ML‑guided corner pruning for STA and IR: sample corners to pick worst‑case representatives.</w:t>
        <w:br/>
        <w:t>• RL‑assisted placement/routing exploration with bounded compute budgets.</w:t>
        <w:br/>
        <w:t>• GPU acceleration trials for EM/thermal and FastSPICE where supported.</w:t>
        <w:br/>
        <w:t>• Containerized, reproducible flows with per‑tool OCI images and hermetic runtimes.</w:t>
      </w:r>
    </w:p>
    <w:p>
      <w:pPr>
        <w:pStyle w:val="Heading2"/>
      </w:pPr>
      <w:r>
        <w:t>13) Quick Readiness Checklist</w:t>
      </w:r>
    </w:p>
    <w:p>
      <w:r>
        <w:t>☐ License‑aware submission wrappers</w:t>
        <w:br/>
        <w:t>☐ Per‑node NVMe scratch with periodic checkpointing</w:t>
        <w:br/>
        <w:t>☐ Parallel FS striping profiles by file class</w:t>
        <w:br/>
        <w:t>☐ Backfill and tapeout‑priority queues</w:t>
        <w:br/>
        <w:t>☐ Observability for license denials and metadata ops</w:t>
        <w:br/>
        <w:t>☐ Cloud burst playbook with data staging and cost guardrails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