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Extended Deep Dive: EDA Tools and HPC in Semiconductor Design</w:t>
      </w:r>
    </w:p>
    <w:p>
      <w:pPr>
        <w:pStyle w:val="Heading2"/>
      </w:pPr>
      <w:r>
        <w:t>1. The Expanding Scope of EDA</w:t>
      </w:r>
    </w:p>
    <w:p>
      <w:r>
        <w:t>EDA is no longer limited to basic logic and layout; modern semiconductor design has expanded significantly:</w:t>
        <w:br/>
        <w:t>• Advanced Node Challenges:</w:t>
        <w:br/>
        <w:t xml:space="preserve">  - At 5nm and below, variability, double/triple patterning, and electro-migration need complex modeling.</w:t>
        <w:br/>
        <w:t xml:space="preserve">  - Includes process variation, IR-drop maps, electro-thermal co-simulation.</w:t>
        <w:br/>
        <w:t>• Heterogeneous Integration:</w:t>
        <w:br/>
        <w:t xml:space="preserve">  - Chiplets and advanced packaging (2.5D/3DIC) require co-design of package, die, and board.</w:t>
        <w:br/>
        <w:t xml:space="preserve">  - Tools like Cadence Integrity 3D-IC and Synopsys 3DIC Compiler rely on HPC for combined thermal/timing analysis.</w:t>
        <w:br/>
        <w:t>• Hardware/Software Co-Design:</w:t>
        <w:br/>
        <w:t xml:space="preserve">  - Software bring-up and verification begin pre-silicon with emulation and hybrid simulation.</w:t>
        <w:br/>
        <w:t xml:space="preserve">  - Emulators like Cadence Palladium Z2 and Synopsys ZeBu integrate with HPC for massive regressions.</w:t>
      </w:r>
    </w:p>
    <w:p>
      <w:pPr>
        <w:pStyle w:val="Heading2"/>
      </w:pPr>
      <w:r>
        <w:t>2. HPC Requirements Driven by EDA</w:t>
      </w:r>
    </w:p>
    <w:p>
      <w:r>
        <w:t>EDA workloads stress compute, memory, and I/O differently depending on the stage:</w:t>
        <w:br/>
        <w:br/>
        <w:t>RTL Simulation: Tens of thousands of small jobs; modest CPU per job; high concurrency and metadata I/O.</w:t>
        <w:br/>
        <w:t>Synthesis: Medium jobs; CPU-bound, benefits from high clock speeds and &gt;32 cores; moderate I/O.</w:t>
        <w:br/>
        <w:t>Place &amp; Route (P&amp;R): Large jobs; memory-intensive (hundreds of GB); heavy random I/O to large databases.</w:t>
        <w:br/>
        <w:t>STA (Sign-off): Many small/medium jobs; embarrassingly parallel across corners/modes; moderate I/O.</w:t>
        <w:br/>
        <w:t>DRC/LVS: Large single jobs; need 1000–5000 cores for big designs; heavy sequential and random I/O to TB-scale GDSII.</w:t>
        <w:br/>
        <w:t>Parasitic Extraction: Large solver-driven jobs; benefit from CPU+GPU acceleration; large mesh file I/O.</w:t>
        <w:br/>
        <w:t>Thermal/IR Analysis: Solver-heavy; scales with cores and GPUs; moderate I/O.</w:t>
      </w:r>
    </w:p>
    <w:p>
      <w:pPr>
        <w:pStyle w:val="Heading2"/>
      </w:pPr>
      <w:r>
        <w:t>3. HPC Architectural Patterns in Semiconductor EDA Farms</w:t>
      </w:r>
    </w:p>
    <w:p>
      <w:r>
        <w:t>Compute Layer:</w:t>
        <w:br/>
        <w:t>• Mix of CPU (e.g., 2×64-core EPYC, 1–2 TB RAM) and GPU-enabled nodes (A100/H100 or Gaudi2/3).</w:t>
        <w:br/>
        <w:t>• Hybrid clusters (on-prem + cloud burst) for peak demands.</w:t>
        <w:br/>
        <w:br/>
        <w:t>Scheduler Layer:</w:t>
        <w:br/>
        <w:t>• License-aware scheduling critical for floating licenses (FlexLM).</w:t>
        <w:br/>
        <w:t>• Job arrays and dependency chains orchestrate multi-stage flows.</w:t>
        <w:br/>
        <w:br/>
        <w:t>Storage Layer:</w:t>
        <w:br/>
        <w:t>• Parallel file systems (Lustre, GPFS, BeeGFS) for shared design databases.</w:t>
        <w:br/>
        <w:t>• NVMe tiered storage for scratch/work directories to reduce I/O bottlenecks.</w:t>
        <w:br/>
        <w:t>• Object storage (e.g., S3) for archiving intermediate data and waveform dumps.</w:t>
        <w:br/>
        <w:br/>
        <w:t>Network Layer:</w:t>
        <w:br/>
        <w:t>• InfiniBand HDR/NDR (200-400 Gbps) for low-latency MPI-based distributed solvers.</w:t>
        <w:br/>
        <w:t>• RoCEv2 used in cloud environments with careful tuning.</w:t>
        <w:br/>
        <w:br/>
        <w:t>Cloud Integration:</w:t>
        <w:br/>
        <w:t>• Cloud bursting (AWS EC2 C7i/Hpc7g, OCI BM.GPU4, Azure HBv4) during peak workloads.</w:t>
        <w:br/>
        <w:t>• Synopsys Cloud and Cadence CloudBurst handle hybrid licensing and submissions.</w:t>
      </w:r>
    </w:p>
    <w:p>
      <w:pPr>
        <w:pStyle w:val="Heading2"/>
      </w:pPr>
      <w:r>
        <w:t>4. Performance and Scaling Considerations</w:t>
      </w:r>
    </w:p>
    <w:p>
      <w:r>
        <w:t>• Scaling Behavior: Most EDA workloads scale sub-linearly; focus is on throughput (many jobs in parallel).</w:t>
        <w:br/>
        <w:t>• Memory Sensitivity: Sign-off tools often need &gt;512 GB per job; hierarchical partitioning demands fast inter-node communication.</w:t>
        <w:br/>
        <w:t>• Checkpoint/Restart: Essential for multi-day jobs to prevent restart on node failure.</w:t>
        <w:br/>
        <w:t>• I/O Optimization: Use of read-only design database replicas and per-job NVMe scratch reduces contention.</w:t>
      </w:r>
    </w:p>
    <w:p>
      <w:pPr>
        <w:pStyle w:val="Heading2"/>
      </w:pPr>
      <w:r>
        <w:t>5. Real-World Metrics from Semiconductor Companies</w:t>
      </w:r>
    </w:p>
    <w:p>
      <w:r>
        <w:t>• Top-tier CPU nodes: 64–128 cores/node, 1–2 TB RAM.</w:t>
        <w:br/>
        <w:t>• Cluster size: 10k–100k cores in on-prem EDA farms.</w:t>
        <w:br/>
        <w:t>• Typical regression suite: 1–2 million tests/night across ~50k cores.</w:t>
        <w:br/>
        <w:t>• Peak tape-out window: 2–3× baseline compute demand, often bursts to cloud.</w:t>
        <w:br/>
        <w:t>• Storage needs: 5–50 PB with sustained 100–200 GB/s I/O throughput.</w:t>
        <w:br/>
        <w:t>• Network latency target: &lt;2 µs for MPI-based distributed solvers.</w:t>
      </w:r>
    </w:p>
    <w:p>
      <w:pPr>
        <w:pStyle w:val="Heading2"/>
      </w:pPr>
      <w:r>
        <w:t>6. Emerging Trends</w:t>
      </w:r>
    </w:p>
    <w:p>
      <w:r>
        <w:t>• AI in EDA: AI-driven floorplanning, auto-routing, test generation (e.g., Synopsys DSO.ai) accelerated on GPUs.</w:t>
        <w:br/>
        <w:t>• 3DIC and Thermal-Aware Sign-off: Computationally intensive due to TSV modeling and stacked-die effects.</w:t>
        <w:br/>
        <w:t>• Cloud-Native EDA Workflows: SaaS models with elastic cloud HPC compute.</w:t>
        <w:br/>
        <w:t>• Green HPC: Focus on energy-efficient clusters with liquid cooling and optimized scheduling.</w:t>
      </w:r>
    </w:p>
    <w:p>
      <w:pPr>
        <w:pStyle w:val="Heading2"/>
      </w:pPr>
      <w:r>
        <w:t>Key Takeaways</w:t>
      </w:r>
    </w:p>
    <w:p>
      <w:r>
        <w:t>• EDA complexity is outpacing Moore’s Law, demanding HPC scale to keep up.</w:t>
        <w:br/>
        <w:t>• HPC is the production engine for chip design, enabling faster tape-out and higher yield.</w:t>
        <w:br/>
        <w:t>• Hybrid (on-prem + cloud) HPC is standard for balancing cost and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