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4fbac8d3db12ddf7660890943f85618ca3b0c0"/>
    <w:p>
      <w:pPr>
        <w:pStyle w:val="Heading1"/>
      </w:pPr>
      <w:r>
        <w:t xml:space="preserve">OCI Compute Firmware Storage Database Design</w:t>
      </w:r>
    </w:p>
    <w:bookmarkStart w:id="20" w:name="core-goals"/>
    <w:p>
      <w:pPr>
        <w:pStyle w:val="Heading2"/>
      </w:pPr>
      <w:r>
        <w:t xml:space="preserve">1. Core Goals</w:t>
      </w:r>
    </w:p>
    <w:p>
      <w:pPr>
        <w:numPr>
          <w:ilvl w:val="0"/>
          <w:numId w:val="1001"/>
        </w:numPr>
        <w:pStyle w:val="Compact"/>
      </w:pPr>
      <w:r>
        <w:t xml:space="preserve">Track firmware artifacts (BIOS, BMC, CPLD, SSD, NIC, GPU) with cryptographic integrity.</w:t>
      </w:r>
    </w:p>
    <w:p>
      <w:pPr>
        <w:numPr>
          <w:ilvl w:val="0"/>
          <w:numId w:val="1001"/>
        </w:numPr>
        <w:pStyle w:val="Compact"/>
      </w:pPr>
      <w:r>
        <w:t xml:space="preserve">Model hardware compatibility and guardrails.</w:t>
      </w:r>
    </w:p>
    <w:p>
      <w:pPr>
        <w:numPr>
          <w:ilvl w:val="0"/>
          <w:numId w:val="1001"/>
        </w:numPr>
        <w:pStyle w:val="Compact"/>
      </w:pPr>
      <w:r>
        <w:t xml:space="preserve">Coordinate safe rollouts (waves, canaries, rings).</w:t>
      </w:r>
    </w:p>
    <w:p>
      <w:pPr>
        <w:numPr>
          <w:ilvl w:val="0"/>
          <w:numId w:val="1001"/>
        </w:numPr>
        <w:pStyle w:val="Compact"/>
      </w:pPr>
      <w:r>
        <w:t xml:space="preserve">Prove compliance (what’s running where, when it changed, who approved).</w:t>
      </w:r>
    </w:p>
    <w:p>
      <w:pPr>
        <w:numPr>
          <w:ilvl w:val="0"/>
          <w:numId w:val="1001"/>
        </w:numPr>
        <w:pStyle w:val="Compact"/>
      </w:pPr>
      <w:r>
        <w:t xml:space="preserve">Survive region failure and support multi-region fleets.</w:t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Object Storage</w:t>
      </w:r>
      <w:r>
        <w:t xml:space="preserve">: firmware blobs, SBOMs, release notes, manifests.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Relational DB (Postgres)</w:t>
      </w:r>
      <w:r>
        <w:t xml:space="preserve">: metadata, policy, rollout state, inventory, audit.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 Bus</w:t>
      </w:r>
      <w:r>
        <w:t xml:space="preserve">: rollout jobs, device reports, webhooks to CI/CD.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Secrets/KMS</w:t>
      </w:r>
      <w:r>
        <w:t xml:space="preserve">: signing keys, hash verification, envelope keys.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Fleet Agents</w:t>
      </w:r>
      <w:r>
        <w:t xml:space="preserve">: nodes/BMCs report capabilities and install results.</w:t>
      </w:r>
    </w:p>
    <w:bookmarkEnd w:id="21"/>
    <w:bookmarkStart w:id="22" w:name="entity-model-overview"/>
    <w:p>
      <w:pPr>
        <w:pStyle w:val="Heading2"/>
      </w:pPr>
      <w:r>
        <w:t xml:space="preserve">3. Entity Model Overview</w:t>
      </w:r>
    </w:p>
    <w:p>
      <w:pPr>
        <w:numPr>
          <w:ilvl w:val="0"/>
          <w:numId w:val="1003"/>
        </w:numPr>
        <w:pStyle w:val="Compact"/>
      </w:pPr>
      <w:r>
        <w:t xml:space="preserve">FirmwareArtifact</w:t>
      </w:r>
    </w:p>
    <w:p>
      <w:pPr>
        <w:numPr>
          <w:ilvl w:val="0"/>
          <w:numId w:val="1003"/>
        </w:numPr>
        <w:pStyle w:val="Compact"/>
      </w:pPr>
      <w:r>
        <w:t xml:space="preserve">FirmwareRelease</w:t>
      </w:r>
    </w:p>
    <w:p>
      <w:pPr>
        <w:numPr>
          <w:ilvl w:val="0"/>
          <w:numId w:val="1003"/>
        </w:numPr>
        <w:pStyle w:val="Compact"/>
      </w:pPr>
      <w:r>
        <w:t xml:space="preserve">HardwareModel</w:t>
      </w:r>
    </w:p>
    <w:p>
      <w:pPr>
        <w:numPr>
          <w:ilvl w:val="0"/>
          <w:numId w:val="1003"/>
        </w:numPr>
        <w:pStyle w:val="Compact"/>
      </w:pPr>
      <w:r>
        <w:t xml:space="preserve">CompatibilityMatrix</w:t>
      </w:r>
    </w:p>
    <w:p>
      <w:pPr>
        <w:numPr>
          <w:ilvl w:val="0"/>
          <w:numId w:val="1003"/>
        </w:numPr>
        <w:pStyle w:val="Compact"/>
      </w:pPr>
      <w:r>
        <w:t xml:space="preserve">ComputeNode</w:t>
      </w:r>
    </w:p>
    <w:p>
      <w:pPr>
        <w:numPr>
          <w:ilvl w:val="0"/>
          <w:numId w:val="1003"/>
        </w:numPr>
        <w:pStyle w:val="Compact"/>
      </w:pPr>
      <w:r>
        <w:t xml:space="preserve">RolloutPlan / RolloutWave / RolloutTarget</w:t>
      </w:r>
    </w:p>
    <w:p>
      <w:pPr>
        <w:numPr>
          <w:ilvl w:val="0"/>
          <w:numId w:val="1003"/>
        </w:numPr>
        <w:pStyle w:val="Compact"/>
      </w:pPr>
      <w:r>
        <w:t xml:space="preserve">InstallationJob / InstallReport</w:t>
      </w:r>
    </w:p>
    <w:p>
      <w:pPr>
        <w:numPr>
          <w:ilvl w:val="0"/>
          <w:numId w:val="1003"/>
        </w:numPr>
        <w:pStyle w:val="Compact"/>
      </w:pPr>
      <w:r>
        <w:t xml:space="preserve">Policy / Approval / Audit</w:t>
      </w:r>
    </w:p>
    <w:p>
      <w:pPr>
        <w:numPr>
          <w:ilvl w:val="0"/>
          <w:numId w:val="1003"/>
        </w:numPr>
        <w:pStyle w:val="Compact"/>
      </w:pPr>
      <w:r>
        <w:t xml:space="preserve">Vulnerability / SBOM</w:t>
      </w:r>
    </w:p>
    <w:bookmarkEnd w:id="22"/>
    <w:bookmarkStart w:id="23" w:name="recommended-tables-postgres-ddl-sketch"/>
    <w:p>
      <w:pPr>
        <w:pStyle w:val="Heading2"/>
      </w:pPr>
      <w:r>
        <w:t xml:space="preserve">4. Recommended Tables (Postgres DDL Sketch)</w:t>
      </w:r>
    </w:p>
    <w:p>
      <w:pPr>
        <w:pStyle w:val="SourceCode"/>
      </w:pPr>
      <w:r>
        <w:rPr>
          <w:rStyle w:val="CommentTok"/>
        </w:rPr>
        <w:t xml:space="preserve">-- Firmware Artifacts and Releases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firmware_artifact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firmware_release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release_artifacts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Hardware &amp; Compatibility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hardware_model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compatibility_matrix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Fleet Inventory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compute_node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Rollouts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rollout_plan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rollout_wave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rollout_target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installation_job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install_report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Policy &amp; Audit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policy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approval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Vulnerabilities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vulnerability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artifact_vulnerability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pPr>
        <w:pStyle w:val="FirstParagraph"/>
      </w:pPr>
      <w:r>
        <w:t xml:space="preserve">Indexes include compute_node(region, shape, model_id) and GIN on JSONB fields.</w:t>
      </w:r>
    </w:p>
    <w:bookmarkEnd w:id="23"/>
    <w:bookmarkStart w:id="24" w:name="typical-workflows-and-queries"/>
    <w:p>
      <w:pPr>
        <w:pStyle w:val="Heading2"/>
      </w:pPr>
      <w:r>
        <w:t xml:space="preserve">5. Typical Workflows and Queries</w:t>
      </w:r>
    </w:p>
    <w:p>
      <w:pPr>
        <w:pStyle w:val="FirstParagraph"/>
      </w:pPr>
      <w:r>
        <w:t xml:space="preserve">Examples include:</w:t>
      </w:r>
      <w:r>
        <w:t xml:space="preserve"> </w:t>
      </w:r>
      <w:r>
        <w:t xml:space="preserve">- Finding canary candidates in a region.</w:t>
      </w:r>
      <w:r>
        <w:t xml:space="preserve"> </w:t>
      </w:r>
      <w:r>
        <w:t xml:space="preserve">- Comparing installed vs target firmware.</w:t>
      </w:r>
      <w:r>
        <w:t xml:space="preserve"> </w:t>
      </w:r>
      <w:r>
        <w:t xml:space="preserve">- Regional compliance snapshots.</w:t>
      </w:r>
    </w:p>
    <w:bookmarkEnd w:id="24"/>
    <w:bookmarkStart w:id="25" w:name="rollout-control-model"/>
    <w:p>
      <w:pPr>
        <w:pStyle w:val="Heading2"/>
      </w:pPr>
      <w:r>
        <w:t xml:space="preserve">6. Rollout Control Model</w:t>
      </w:r>
    </w:p>
    <w:p>
      <w:pPr>
        <w:numPr>
          <w:ilvl w:val="0"/>
          <w:numId w:val="1004"/>
        </w:numPr>
        <w:pStyle w:val="Compact"/>
      </w:pPr>
      <w:r>
        <w:t xml:space="preserve">Plan → Waves → Targets.</w:t>
      </w:r>
    </w:p>
    <w:p>
      <w:pPr>
        <w:numPr>
          <w:ilvl w:val="0"/>
          <w:numId w:val="1004"/>
        </w:numPr>
        <w:pStyle w:val="Compact"/>
      </w:pPr>
      <w:r>
        <w:t xml:space="preserve">Safety gates and error thresholds.</w:t>
      </w:r>
    </w:p>
    <w:p>
      <w:pPr>
        <w:numPr>
          <w:ilvl w:val="0"/>
          <w:numId w:val="1004"/>
        </w:numPr>
        <w:pStyle w:val="Compact"/>
      </w:pPr>
      <w:r>
        <w:t xml:space="preserve">Maintenance windows and rollback strategy.</w:t>
      </w:r>
    </w:p>
    <w:bookmarkEnd w:id="25"/>
    <w:bookmarkStart w:id="26" w:name="integrity-and-security"/>
    <w:p>
      <w:pPr>
        <w:pStyle w:val="Heading2"/>
      </w:pPr>
      <w:r>
        <w:t xml:space="preserve">7. Integrity and Security</w:t>
      </w:r>
    </w:p>
    <w:p>
      <w:pPr>
        <w:numPr>
          <w:ilvl w:val="0"/>
          <w:numId w:val="1005"/>
        </w:numPr>
        <w:pStyle w:val="Compact"/>
      </w:pPr>
      <w:r>
        <w:t xml:space="preserve">SHA-256 validation.</w:t>
      </w:r>
    </w:p>
    <w:p>
      <w:pPr>
        <w:numPr>
          <w:ilvl w:val="0"/>
          <w:numId w:val="1005"/>
        </w:numPr>
        <w:pStyle w:val="Compact"/>
      </w:pPr>
      <w:r>
        <w:t xml:space="preserve">Detached signatures.</w:t>
      </w:r>
    </w:p>
    <w:p>
      <w:pPr>
        <w:numPr>
          <w:ilvl w:val="0"/>
          <w:numId w:val="1005"/>
        </w:numPr>
        <w:pStyle w:val="Compact"/>
      </w:pPr>
      <w:r>
        <w:t xml:space="preserve">Transparency log via Merkle root.</w:t>
      </w:r>
    </w:p>
    <w:p>
      <w:pPr>
        <w:numPr>
          <w:ilvl w:val="0"/>
          <w:numId w:val="1005"/>
        </w:numPr>
        <w:pStyle w:val="Compact"/>
      </w:pPr>
      <w:r>
        <w:t xml:space="preserve">STS-based object access.</w:t>
      </w:r>
    </w:p>
    <w:bookmarkEnd w:id="26"/>
    <w:bookmarkStart w:id="27" w:name="multi-region-and-scale"/>
    <w:p>
      <w:pPr>
        <w:pStyle w:val="Heading2"/>
      </w:pPr>
      <w:r>
        <w:t xml:space="preserve">8. Multi-region and Scale</w:t>
      </w:r>
    </w:p>
    <w:p>
      <w:pPr>
        <w:numPr>
          <w:ilvl w:val="0"/>
          <w:numId w:val="1006"/>
        </w:numPr>
        <w:pStyle w:val="Compact"/>
      </w:pPr>
      <w:r>
        <w:t xml:space="preserve">Read replicas per region.</w:t>
      </w:r>
    </w:p>
    <w:p>
      <w:pPr>
        <w:numPr>
          <w:ilvl w:val="0"/>
          <w:numId w:val="1006"/>
        </w:numPr>
        <w:pStyle w:val="Compact"/>
      </w:pPr>
      <w:r>
        <w:t xml:space="preserve">CDC into event streaming.</w:t>
      </w:r>
    </w:p>
    <w:p>
      <w:pPr>
        <w:numPr>
          <w:ilvl w:val="0"/>
          <w:numId w:val="1006"/>
        </w:numPr>
        <w:pStyle w:val="Compact"/>
      </w:pPr>
      <w:r>
        <w:t xml:space="preserve">Partition large tables.</w:t>
      </w:r>
    </w:p>
    <w:p>
      <w:pPr>
        <w:numPr>
          <w:ilvl w:val="0"/>
          <w:numId w:val="1006"/>
        </w:numPr>
        <w:pStyle w:val="Compact"/>
      </w:pPr>
      <w:r>
        <w:t xml:space="preserve">OLAP store for InstallReport.</w:t>
      </w:r>
    </w:p>
    <w:bookmarkEnd w:id="27"/>
    <w:bookmarkStart w:id="28" w:name="api-shape-sketch"/>
    <w:p>
      <w:pPr>
        <w:pStyle w:val="Heading2"/>
      </w:pPr>
      <w:r>
        <w:t xml:space="preserve">9. API Shape (Sketch)</w:t>
      </w:r>
    </w:p>
    <w:p>
      <w:pPr>
        <w:pStyle w:val="FirstParagraph"/>
      </w:pPr>
      <w:r>
        <w:t xml:space="preserve">Example endpoints for releases, plans, nodes, jobs, and audits.</w:t>
      </w:r>
    </w:p>
    <w:bookmarkEnd w:id="28"/>
    <w:bookmarkStart w:id="29" w:name="observability"/>
    <w:p>
      <w:pPr>
        <w:pStyle w:val="Heading2"/>
      </w:pPr>
      <w:r>
        <w:t xml:space="preserve">10. Observability</w:t>
      </w:r>
    </w:p>
    <w:p>
      <w:pPr>
        <w:pStyle w:val="FirstParagraph"/>
      </w:pPr>
      <w:r>
        <w:t xml:space="preserve">Metrics, logs, and traces for rollout and compliance monitoring.</w:t>
      </w:r>
    </w:p>
    <w:bookmarkEnd w:id="29"/>
    <w:bookmarkStart w:id="30" w:name="data-retention"/>
    <w:p>
      <w:pPr>
        <w:pStyle w:val="Heading2"/>
      </w:pPr>
      <w:r>
        <w:t xml:space="preserve">11. Data Retention</w:t>
      </w:r>
    </w:p>
    <w:p>
      <w:pPr>
        <w:numPr>
          <w:ilvl w:val="0"/>
          <w:numId w:val="1007"/>
        </w:numPr>
        <w:pStyle w:val="Compact"/>
      </w:pPr>
      <w:r>
        <w:t xml:space="preserve">InstallReport (30–90 days).</w:t>
      </w:r>
    </w:p>
    <w:p>
      <w:pPr>
        <w:numPr>
          <w:ilvl w:val="0"/>
          <w:numId w:val="1007"/>
        </w:numPr>
        <w:pStyle w:val="Compact"/>
      </w:pPr>
      <w:r>
        <w:t xml:space="preserve">Audit logs (12–24 months).</w:t>
      </w:r>
    </w:p>
    <w:p>
      <w:pPr>
        <w:numPr>
          <w:ilvl w:val="0"/>
          <w:numId w:val="1007"/>
        </w:numPr>
        <w:pStyle w:val="Compact"/>
      </w:pPr>
      <w:r>
        <w:t xml:space="preserve">SBOMs and Releases (indefinite).</w:t>
      </w:r>
    </w:p>
    <w:bookmarkEnd w:id="30"/>
    <w:bookmarkStart w:id="31" w:name="variations-and-choices"/>
    <w:p>
      <w:pPr>
        <w:pStyle w:val="Heading2"/>
      </w:pPr>
      <w:r>
        <w:t xml:space="preserve">12. Variations and Choices</w:t>
      </w:r>
    </w:p>
    <w:p>
      <w:pPr>
        <w:numPr>
          <w:ilvl w:val="0"/>
          <w:numId w:val="1008"/>
        </w:numPr>
        <w:pStyle w:val="Compact"/>
      </w:pPr>
      <w:r>
        <w:t xml:space="preserve">MySQL alternative.</w:t>
      </w:r>
    </w:p>
    <w:p>
      <w:pPr>
        <w:numPr>
          <w:ilvl w:val="0"/>
          <w:numId w:val="1008"/>
        </w:numPr>
        <w:pStyle w:val="Compact"/>
      </w:pPr>
      <w:r>
        <w:t xml:space="preserve">Hybrid relational + NoSQL design.</w:t>
      </w:r>
    </w:p>
    <w:bookmarkEnd w:id="31"/>
    <w:bookmarkStart w:id="32" w:name="seed-data-examples"/>
    <w:p>
      <w:pPr>
        <w:pStyle w:val="Heading2"/>
      </w:pPr>
      <w:r>
        <w:t xml:space="preserve">13. Seed Data Examples</w:t>
      </w:r>
    </w:p>
    <w:p>
      <w:pPr>
        <w:pStyle w:val="FirstParagraph"/>
      </w:pPr>
      <w:r>
        <w:t xml:space="preserve">Sample inserts for hardware_model and firmware_artifact.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2025-10-24T02:57:34Z</dcterms:created>
  <dcterms:modified xsi:type="dcterms:W3CDTF">2025-10-24T02:57:34Z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