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iqhnh6rs5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yseuhtdzjv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master_dataset.csv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analysis file. Each row represents one scam type in one year.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7.041965199591"/>
        <w:gridCol w:w="852.6509723643808"/>
        <w:gridCol w:w="3597.4206755373593"/>
        <w:gridCol w:w="2102.886386898669"/>
        <w:tblGridChange w:id="0">
          <w:tblGrid>
            <w:gridCol w:w="2807.041965199591"/>
            <w:gridCol w:w="852.6509723643808"/>
            <w:gridCol w:w="3597.4206755373593"/>
            <w:gridCol w:w="2102.8863868986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Reference year of the data (2024 or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PNP-ACG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Category of online scam as classified by PNP-ACG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PNP-ACG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Number of reported cases of this scam type in the given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PNP-ACG via Inquirer / Psbalita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total_cases_year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Total reported online scam cases for that year across all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ABS-CBN/PNP-ACG (2024: 14,529); Psbalita/PNP-ACG (2025: 3,941)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prevalence_weight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Share of this scam type out of total cases: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case_count / total_cases_year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Computed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avg_loss_per_victim_php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Average financial loss per scam victim in Philippine pesos (₱11,896.30 — uniform across all types)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GASA PH 2025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loss_data_type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Whether avg loss is confirmed from a source or estimated. All rows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GASA PH 2025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total_loss_php_est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Estimated total financial loss for this scam type: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case_count × avg_loss_per_victim_php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Computed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fhi_score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Financial Harm Index score: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avg_loss_per_victim_php × prevalence_weight</w:t>
            </w:r>
            <w:r w:rsidDel="00000000" w:rsidR="00000000" w:rsidRPr="00000000">
              <w:rPr>
                <w:rtl w:val="0"/>
              </w:rPr>
              <w:t xml:space="preserve">. Higher = greater harm.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Computed — adapted from Voce &amp; Morgan (AIC, 2025)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Citation URL for the case count figures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PNP-ACG press releases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avg_loss_source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Citation URL for the avg loss per victim figure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GASA PH 2025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0fd8gydsnb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fhi_ranking.csv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Aggregated FHI ranking across both years. One row per scam type.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2.2932917316693"/>
        <w:gridCol w:w="866.3962558502341"/>
        <w:gridCol w:w="5641.310452418097"/>
        <w:tblGridChange w:id="0">
          <w:tblGrid>
            <w:gridCol w:w="2852.2932917316693"/>
            <w:gridCol w:w="866.3962558502341"/>
            <w:gridCol w:w="5641.3104524180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Scam type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avg_fhi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Average FHI score across years where data is present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Combined case count across 2024 and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years_present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Which years data exists for this scam type — note types with only one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Final FHI rank (1 = greatest harm)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avg_loss_per_victim_php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Confirmed average loss per victim — same for all types (₱11,896.30)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Dashboard note:</w:t>
      </w:r>
      <w:r w:rsidDel="00000000" w:rsidR="00000000" w:rsidRPr="00000000">
        <w:rPr>
          <w:rtl w:val="0"/>
        </w:rPr>
        <w:t xml:space="preserve"> Hijacked Profile/ID, Loan/Lending Scam, and Travel Scam only appear in one year. Add an asterisk or footnote so the audience knows their FHI is not a 2-year average.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wus6l7tp15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platform_losses.csv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losses by payment platform reported to CICC for 2024. One row per platform.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890"/>
        <w:gridCol w:w="6020"/>
        <w:tblGridChange w:id="0">
          <w:tblGrid>
            <w:gridCol w:w="1880"/>
            <w:gridCol w:w="890"/>
            <w:gridCol w:w="6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Payment platform name (GCash, BPI, GoTyme, PayMaya)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total_loss_php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Total money lost by that platform's users in Philippine pesos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Reference year (all 2024)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Citation — PNA / CICC Feb 2025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These losses are by platform, not by scam type. A GCash loss could have originated from any scam type. Do not merge this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master_dataset.csv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scam_type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a9rrqpzv0w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demographic_findings.csv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Qualitative and quantitative findings about victim demographics and social cost. One row per finding.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770"/>
        <w:gridCol w:w="6920"/>
        <w:tblGridChange w:id="0">
          <w:tblGrid>
            <w:gridCol w:w="1175"/>
            <w:gridCol w:w="770"/>
            <w:gridCol w:w="6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Grouping: Age Group, Location, Social Cost, Channel, or Fraud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Specific population or group the finding refers 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The data point or statistic as a complete sentence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Citation — primarily GASA PH 2025 and BSP via Inquirer Feb 2025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file is not joinable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master_dataset.csv</w:t>
      </w:r>
      <w:r w:rsidDel="00000000" w:rsidR="00000000" w:rsidRPr="00000000">
        <w:rPr>
          <w:rtl w:val="0"/>
        </w:rPr>
        <w:t xml:space="preserve">. It is a standalone reference table for dashboard infographic panels and the victimization section of the presentation.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yf0wgxqj4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Note (for all files)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FHI analysis covers </w:t>
      </w:r>
      <w:r w:rsidDel="00000000" w:rsidR="00000000" w:rsidRPr="00000000">
        <w:rPr>
          <w:b w:val="1"/>
          <w:bCs w:val="1"/>
          <w:rtl w:val="0"/>
        </w:rPr>
        <w:t xml:space="preserve">2024–2025</w:t>
      </w:r>
      <w:r w:rsidDel="00000000" w:rsidR="00000000" w:rsidRPr="00000000">
        <w:rPr>
          <w:rtl w:val="0"/>
        </w:rPr>
        <w:t xml:space="preserve"> only. Per-type case counts for 2023 were unavailable at the sub-category level from PNP-ACG sources.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2023 aggregate figures (₱155M total loss, 16,297 total cases) are available in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dataset2_financial_losses.csv</w:t>
      </w:r>
      <w:r w:rsidDel="00000000" w:rsidR="00000000" w:rsidRPr="00000000">
        <w:rPr>
          <w:rtl w:val="0"/>
        </w:rPr>
        <w:t xml:space="preserve"> and should be used as </w:t>
      </w:r>
      <w:r w:rsidDel="00000000" w:rsidR="00000000" w:rsidRPr="00000000">
        <w:rPr>
          <w:b w:val="1"/>
          <w:bCs w:val="1"/>
          <w:rtl w:val="0"/>
        </w:rPr>
        <w:t xml:space="preserve">baseline context</w:t>
      </w:r>
      <w:r w:rsidDel="00000000" w:rsidR="00000000" w:rsidRPr="00000000">
        <w:rPr>
          <w:rtl w:val="0"/>
        </w:rPr>
        <w:t xml:space="preserve"> in the dashboard introduction, not in the FHI calculation.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 Hijacked Profile/ID was excluded from the master dataset — no confirmed full-year case count was found in available sources.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