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are all the files for the dashboard. Everything is clean and verified, you don't need to touch the numbers, just build the display around them.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Driving question (must appear as dashboard header):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"Which online scam type in the Philippines caused the greatest financial harm from 2023–2025, and which sector of society is most victimized?"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master_dataset.csv</w:t>
      </w:r>
      <w:r w:rsidDel="00000000" w:rsidR="00000000" w:rsidRPr="00000000">
        <w:rPr>
          <w:rtl w:val="0"/>
        </w:rPr>
        <w:t xml:space="preserve"> — full dataset with FHI scores per scam type per year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fhi_ranking.csv</w:t>
      </w:r>
      <w:r w:rsidDel="00000000" w:rsidR="00000000" w:rsidRPr="00000000">
        <w:rPr>
          <w:rtl w:val="0"/>
        </w:rPr>
        <w:t xml:space="preserve"> — use this for the first view (ranked bar chart or table)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platform_losses.csv</w:t>
      </w:r>
      <w:r w:rsidDel="00000000" w:rsidR="00000000" w:rsidRPr="00000000">
        <w:rPr>
          <w:rtl w:val="0"/>
        </w:rPr>
        <w:t xml:space="preserve"> — platform losses chart (GCash, BPI, GoTyme, PayMaya)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demographic_findings.csv</w:t>
      </w:r>
      <w:r w:rsidDel="00000000" w:rsidR="00000000" w:rsidRPr="00000000">
        <w:rPr>
          <w:rtl w:val="0"/>
        </w:rPr>
        <w:t xml:space="preserve"> — use for a demographics/social cost panel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first view rule (from guidelines):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FHI ranking must be visible on first load — no scrolling. The driving question is the header. Audience should understand the answer in under 60 seconds.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findings to highlight: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Selling = #1 highest FHI (most widespread harm)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Investment/Tasking = #2 (highest damage per victim relative to prevalence)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GCash users lost the most by platform: ₱76.49M in 2024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Millennials lost the most on average: ₱14,093.40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Suburban residents had 72% scam exposure — highest by location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Hijacked Profile/ID, Loan/Lending Scam, and Travel Scam only appear in one year — add an asterisk for those rows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demographic_findings.csv is standalone — don't join it to the master dataset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2023 data is baseline context only — not in the FHI calculation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FHI methodology source (for dashboard footer):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Adapted from Voce &amp; Morgan, AIC (2025). Developing a harm index for individual victims of cybercrime.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BE BUILT: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075"/>
        <w:gridCol w:w="3150"/>
        <w:tblGridChange w:id="0">
          <w:tblGrid>
            <w:gridCol w:w="2910"/>
            <w:gridCol w:w="3075"/>
            <w:gridCol w:w="31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FHI Ranking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(first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fhi_ranking.csv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Horizontal bar chart, ranked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Scam Cases Over Time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master_dataset.csv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Grouped bar or line chart by year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Platform Losses 2024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platform_losses.csv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Bar or pie chart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Demographics &amp; Social Cost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demographic_findings.csv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Infographic cards / stat tiles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