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B6687">
    <v:background id="_x0000_s2049" o:bwmode="white" fillcolor="#3b6687" o:targetscreensize="1024,768">
      <v:fill color2="#2a4e6c" recolor="t" angle="-135" focus="100%" type="gradient"/>
    </v:background>
  </w:background>
  <w:body>
    <w:p w14:paraId="61466F38" w14:textId="6914D5E4" w:rsidR="00BF065B" w:rsidRDefault="00D733BD">
      <w:r w:rsidRPr="00BF065B">
        <w:rPr>
          <w:rFonts w:eastAsiaTheme="minorHAnsi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466F48" wp14:editId="016E7AB3">
                <wp:simplePos x="0" y="0"/>
                <wp:positionH relativeFrom="column">
                  <wp:posOffset>2912745</wp:posOffset>
                </wp:positionH>
                <wp:positionV relativeFrom="paragraph">
                  <wp:posOffset>-66675</wp:posOffset>
                </wp:positionV>
                <wp:extent cx="6259830" cy="819150"/>
                <wp:effectExtent l="0" t="0" r="762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98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66" w14:textId="40A81DE6" w:rsidR="00BF065B" w:rsidRPr="00CD5285" w:rsidRDefault="00D359CA" w:rsidP="003A7AF8">
                            <w:pPr>
                              <w:spacing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ORbital Wargame in GEO</w:t>
                            </w:r>
                          </w:p>
                          <w:p w14:paraId="3C210F56" w14:textId="20670D1B" w:rsidR="003A7AF8" w:rsidRPr="00F87109" w:rsidRDefault="00430A2E" w:rsidP="003A7AF8">
                            <w:pPr>
                              <w:spacing w:after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BF3D3C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Primary </w:t>
                            </w:r>
                            <w:r w:rsidR="00BF065B" w:rsidRPr="00BF3D3C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POC: </w:t>
                            </w:r>
                            <w:r w:rsidR="00C52610" w:rsidRPr="00F87109">
                              <w:rPr>
                                <w:rStyle w:val="SubtleEmphasis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Luke Schoenwetter</w:t>
                            </w:r>
                            <w:r w:rsidR="00BF065B" w:rsidRPr="00F87109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1466F67" w14:textId="0D55EB5E" w:rsidR="00BF065B" w:rsidRPr="00F87109" w:rsidRDefault="003A7AF8" w:rsidP="00BF065B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F87109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Primary Business Stakeholder: </w:t>
                            </w:r>
                            <w:r w:rsidR="007E5270" w:rsidRPr="00F87109">
                              <w:rPr>
                                <w:rStyle w:val="SubtleEmphasis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Mike Mason</w:t>
                            </w:r>
                            <w:r w:rsidR="00BF3D3C" w:rsidRPr="00F87109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065B" w:rsidRPr="00F87109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6F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35pt;margin-top:-5.25pt;width:492.9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" stroked="f">
                <v:textbox>
                  <w:txbxContent>
                    <w:p w14:paraId="61466F66" w14:textId="40A81DE6" w:rsidR="00BF065B" w:rsidRPr="00CD5285" w:rsidRDefault="00D359CA" w:rsidP="003A7AF8">
                      <w:pPr>
                        <w:spacing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ORbital Wargame in GEO</w:t>
                      </w:r>
                    </w:p>
                    <w:p w14:paraId="3C210F56" w14:textId="20670D1B" w:rsidR="003A7AF8" w:rsidRPr="00F87109" w:rsidRDefault="00430A2E" w:rsidP="003A7AF8">
                      <w:pPr>
                        <w:spacing w:after="0"/>
                        <w:rPr>
                          <w:iCs/>
                          <w:sz w:val="20"/>
                          <w:szCs w:val="20"/>
                        </w:rPr>
                      </w:pPr>
                      <w:r w:rsidRPr="00BF3D3C">
                        <w:rPr>
                          <w:iCs/>
                          <w:sz w:val="20"/>
                          <w:szCs w:val="20"/>
                        </w:rPr>
                        <w:t xml:space="preserve">Primary </w:t>
                      </w:r>
                      <w:r w:rsidR="00BF065B" w:rsidRPr="00BF3D3C">
                        <w:rPr>
                          <w:iCs/>
                          <w:sz w:val="20"/>
                          <w:szCs w:val="20"/>
                        </w:rPr>
                        <w:t xml:space="preserve">POC: </w:t>
                      </w:r>
                      <w:r w:rsidR="00C52610" w:rsidRPr="00F87109">
                        <w:rPr>
                          <w:rStyle w:val="SubtleEmphasis"/>
                          <w:iCs w:val="0"/>
                          <w:color w:val="auto"/>
                          <w:sz w:val="20"/>
                          <w:szCs w:val="20"/>
                        </w:rPr>
                        <w:t>Luke Schoenwetter</w:t>
                      </w:r>
                      <w:r w:rsidR="00BF065B" w:rsidRPr="00F87109">
                        <w:rPr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466F67" w14:textId="0D55EB5E" w:rsidR="00BF065B" w:rsidRPr="00F87109" w:rsidRDefault="003A7AF8" w:rsidP="00BF065B">
                      <w:pPr>
                        <w:rPr>
                          <w:iCs/>
                          <w:sz w:val="20"/>
                          <w:szCs w:val="20"/>
                        </w:rPr>
                      </w:pPr>
                      <w:r w:rsidRPr="00F87109">
                        <w:rPr>
                          <w:iCs/>
                          <w:sz w:val="20"/>
                          <w:szCs w:val="20"/>
                        </w:rPr>
                        <w:t xml:space="preserve">Primary Business Stakeholder: </w:t>
                      </w:r>
                      <w:r w:rsidR="007E5270" w:rsidRPr="00F87109">
                        <w:rPr>
                          <w:rStyle w:val="SubtleEmphasis"/>
                          <w:iCs w:val="0"/>
                          <w:color w:val="auto"/>
                          <w:sz w:val="20"/>
                          <w:szCs w:val="20"/>
                        </w:rPr>
                        <w:t>Mike Mason</w:t>
                      </w:r>
                      <w:r w:rsidR="00BF3D3C" w:rsidRPr="00F87109">
                        <w:rPr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BF065B" w:rsidRPr="00F87109">
                        <w:rPr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466F4A" wp14:editId="63C433DB">
            <wp:simplePos x="0" y="0"/>
            <wp:positionH relativeFrom="leftMargin">
              <wp:posOffset>457200</wp:posOffset>
            </wp:positionH>
            <wp:positionV relativeFrom="paragraph">
              <wp:posOffset>-180975</wp:posOffset>
            </wp:positionV>
            <wp:extent cx="2693670" cy="904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66F39" w14:textId="24810921" w:rsidR="00BF065B" w:rsidRDefault="00BF065B"/>
    <w:p w14:paraId="61466F3A" w14:textId="5C01A787" w:rsidR="00433706" w:rsidRDefault="00433706"/>
    <w:p w14:paraId="61466F3B" w14:textId="36883118" w:rsidR="00BF065B" w:rsidRDefault="00F8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466F46" wp14:editId="20150E0C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5715000" cy="94297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5226" w14:textId="3B5B1244" w:rsidR="00430A2E" w:rsidRPr="00F87109" w:rsidRDefault="00430A2E" w:rsidP="00F87109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 w:rsidRPr="00CD5285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SMART GOAL</w:t>
                            </w:r>
                          </w:p>
                          <w:p w14:paraId="61466F65" w14:textId="12D55AC8" w:rsidR="00A659B5" w:rsidRDefault="00F87109">
                            <w:r>
                              <w:rPr>
                                <w:rFonts w:eastAsiaTheme="minorHAnsi"/>
                                <w:sz w:val="20"/>
                              </w:rPr>
                              <w:t>D</w:t>
                            </w:r>
                            <w:r w:rsidR="00D9400F">
                              <w:rPr>
                                <w:rFonts w:eastAsiaTheme="minorHAnsi"/>
                                <w:sz w:val="20"/>
                              </w:rPr>
                              <w:t>emonstrate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 xml:space="preserve"> to senior</w:t>
                            </w:r>
                            <w:r w:rsidR="007E5270">
                              <w:rPr>
                                <w:rFonts w:eastAsiaTheme="minorHAnsi"/>
                                <w:sz w:val="20"/>
                              </w:rPr>
                              <w:t xml:space="preserve"> National Space Test and Training Complex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 xml:space="preserve"> </w:t>
                            </w:r>
                            <w:r w:rsidR="007E5270">
                              <w:rPr>
                                <w:rFonts w:eastAsiaTheme="minorHAnsi"/>
                                <w:sz w:val="20"/>
                              </w:rPr>
                              <w:t>(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>NSTTC</w:t>
                            </w:r>
                            <w:r w:rsidR="007E5270">
                              <w:rPr>
                                <w:rFonts w:eastAsiaTheme="minorHAnsi"/>
                                <w:sz w:val="20"/>
                              </w:rPr>
                              <w:t>)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 xml:space="preserve"> officers</w:t>
                            </w:r>
                            <w:r w:rsidR="00C52610">
                              <w:rPr>
                                <w:rFonts w:eastAsiaTheme="minorHAnsi"/>
                                <w:sz w:val="20"/>
                              </w:rPr>
                              <w:t xml:space="preserve"> a 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>wargame</w:t>
                            </w:r>
                            <w:r w:rsidR="00C52610">
                              <w:rPr>
                                <w:rFonts w:eastAsiaTheme="minorHAnsi"/>
                                <w:sz w:val="20"/>
                              </w:rPr>
                              <w:t xml:space="preserve"> that accurately models the information, choices, and outcomes available to a 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 xml:space="preserve">geosynchronous </w:t>
                            </w:r>
                            <w:r w:rsidR="00C52610">
                              <w:rPr>
                                <w:rFonts w:eastAsiaTheme="minorHAnsi"/>
                                <w:sz w:val="20"/>
                              </w:rPr>
                              <w:t>spacecraft operator during a</w:t>
                            </w:r>
                            <w:r w:rsidR="00D359CA">
                              <w:rPr>
                                <w:rFonts w:eastAsiaTheme="minorHAnsi"/>
                                <w:sz w:val="20"/>
                              </w:rPr>
                              <w:t xml:space="preserve"> Rendezvous and Proximity Operation (RPO) by an</w:t>
                            </w:r>
                            <w:r w:rsidR="00C52610">
                              <w:rPr>
                                <w:rFonts w:eastAsiaTheme="minorHAnsi"/>
                                <w:sz w:val="20"/>
                              </w:rPr>
                              <w:t xml:space="preserve"> adversarial spacecraft.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F46" id="_x0000_s1027" type="#_x0000_t202" style="position:absolute;margin-left:0;margin-top:4.65pt;width:450pt;height:7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" stroked="f">
                <v:textbox>
                  <w:txbxContent>
                    <w:p w14:paraId="18F15226" w14:textId="3B5B1244" w:rsidR="00430A2E" w:rsidRPr="00F87109" w:rsidRDefault="00430A2E" w:rsidP="00F87109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 w:rsidRPr="00CD5285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SMART GOAL</w:t>
                      </w:r>
                    </w:p>
                    <w:p w14:paraId="61466F65" w14:textId="12D55AC8" w:rsidR="00A659B5" w:rsidRDefault="00F87109">
                      <w:r>
                        <w:rPr>
                          <w:rFonts w:eastAsiaTheme="minorHAnsi"/>
                          <w:sz w:val="20"/>
                        </w:rPr>
                        <w:t>D</w:t>
                      </w:r>
                      <w:r w:rsidR="00D9400F">
                        <w:rPr>
                          <w:rFonts w:eastAsiaTheme="minorHAnsi"/>
                          <w:sz w:val="20"/>
                        </w:rPr>
                        <w:t>emonstrate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 xml:space="preserve"> to senior</w:t>
                      </w:r>
                      <w:r w:rsidR="007E5270">
                        <w:rPr>
                          <w:rFonts w:eastAsiaTheme="minorHAnsi"/>
                          <w:sz w:val="20"/>
                        </w:rPr>
                        <w:t xml:space="preserve"> National Space Test and Training Complex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 xml:space="preserve"> </w:t>
                      </w:r>
                      <w:r w:rsidR="007E5270">
                        <w:rPr>
                          <w:rFonts w:eastAsiaTheme="minorHAnsi"/>
                          <w:sz w:val="20"/>
                        </w:rPr>
                        <w:t>(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>NSTTC</w:t>
                      </w:r>
                      <w:r w:rsidR="007E5270">
                        <w:rPr>
                          <w:rFonts w:eastAsiaTheme="minorHAnsi"/>
                          <w:sz w:val="20"/>
                        </w:rPr>
                        <w:t>)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 xml:space="preserve"> officers</w:t>
                      </w:r>
                      <w:r w:rsidR="00C52610">
                        <w:rPr>
                          <w:rFonts w:eastAsiaTheme="minorHAnsi"/>
                          <w:sz w:val="20"/>
                        </w:rPr>
                        <w:t xml:space="preserve"> a 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>wargame</w:t>
                      </w:r>
                      <w:r w:rsidR="00C52610">
                        <w:rPr>
                          <w:rFonts w:eastAsiaTheme="minorHAnsi"/>
                          <w:sz w:val="20"/>
                        </w:rPr>
                        <w:t xml:space="preserve"> that accurately models the information, choices, and outcomes available to a 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 xml:space="preserve">geosynchronous </w:t>
                      </w:r>
                      <w:r w:rsidR="00C52610">
                        <w:rPr>
                          <w:rFonts w:eastAsiaTheme="minorHAnsi"/>
                          <w:sz w:val="20"/>
                        </w:rPr>
                        <w:t>spacecraft operator during a</w:t>
                      </w:r>
                      <w:r w:rsidR="00D359CA">
                        <w:rPr>
                          <w:rFonts w:eastAsiaTheme="minorHAnsi"/>
                          <w:sz w:val="20"/>
                        </w:rPr>
                        <w:t xml:space="preserve"> Rendezvous and Proximity Operation (RPO) by an</w:t>
                      </w:r>
                      <w:r w:rsidR="00C52610">
                        <w:rPr>
                          <w:rFonts w:eastAsiaTheme="minorHAnsi"/>
                          <w:sz w:val="20"/>
                        </w:rPr>
                        <w:t xml:space="preserve"> adversarial spacecraft.</w:t>
                      </w:r>
                    </w:p>
                  </w:txbxContent>
                </v:textbox>
              </v:shape>
            </w:pict>
          </mc:Fallback>
        </mc:AlternateContent>
      </w:r>
      <w:r w:rsidR="00A106E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466F4E" wp14:editId="48C17B08">
                <wp:simplePos x="0" y="0"/>
                <wp:positionH relativeFrom="column">
                  <wp:posOffset>5829300</wp:posOffset>
                </wp:positionH>
                <wp:positionV relativeFrom="paragraph">
                  <wp:posOffset>62865</wp:posOffset>
                </wp:positionV>
                <wp:extent cx="3335655" cy="14001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6D" w14:textId="5D4E3382" w:rsidR="00A659B5" w:rsidRPr="00CD5285" w:rsidRDefault="00072234" w:rsidP="00CD5285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 xml:space="preserve">Map to </w:t>
                            </w:r>
                            <w:r w:rsidR="00430A2E" w:rsidRPr="00CD5285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business value</w:t>
                            </w:r>
                          </w:p>
                          <w:p w14:paraId="106F24A4" w14:textId="18E4A5FC" w:rsidR="006A0C33" w:rsidRPr="003A7AF8" w:rsidRDefault="00250AAF" w:rsidP="003A7AF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="003A4CD7" w:rsidRPr="003A7AF8">
                              <w:rPr>
                                <w:sz w:val="20"/>
                              </w:rPr>
                              <w:t xml:space="preserve">he </w:t>
                            </w:r>
                            <w:r w:rsidR="00F87109">
                              <w:rPr>
                                <w:sz w:val="20"/>
                              </w:rPr>
                              <w:t xml:space="preserve">aiLabs </w:t>
                            </w:r>
                            <w:r w:rsidR="003A4CD7" w:rsidRPr="003A7AF8">
                              <w:rPr>
                                <w:sz w:val="20"/>
                              </w:rPr>
                              <w:t xml:space="preserve">Innovation Target that supports </w:t>
                            </w:r>
                            <w:r>
                              <w:rPr>
                                <w:sz w:val="20"/>
                              </w:rPr>
                              <w:t>this request is</w:t>
                            </w:r>
                            <w:r w:rsidR="005F3353"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1624C6">
                              <w:rPr>
                                <w:sz w:val="20"/>
                              </w:rPr>
                              <w:t>Interactive Orbital Warfare Training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</w:t>
                            </w:r>
                            <w:r w:rsidR="007E5270">
                              <w:rPr>
                                <w:sz w:val="20"/>
                              </w:rPr>
                              <w:t xml:space="preserve">The target customer is the USSF NSTTC. </w:t>
                            </w:r>
                            <w:r w:rsidR="00C85AB4">
                              <w:rPr>
                                <w:sz w:val="20"/>
                              </w:rPr>
                              <w:t xml:space="preserve">Additionally, this </w:t>
                            </w:r>
                            <w:r w:rsidR="00D9400F">
                              <w:rPr>
                                <w:sz w:val="20"/>
                              </w:rPr>
                              <w:t>initiative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would expand our current USSF training </w:t>
                            </w:r>
                            <w:r w:rsidR="007E5270">
                              <w:rPr>
                                <w:sz w:val="20"/>
                              </w:rPr>
                              <w:t>beachhead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beyond ObsSIM and JCO Sensor Calibration support.</w:t>
                            </w:r>
                          </w:p>
                          <w:p w14:paraId="61466F6F" w14:textId="77777777" w:rsidR="008E0F60" w:rsidRDefault="008E0F60" w:rsidP="008E0F60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61466F70" w14:textId="77777777" w:rsidR="00A902F5" w:rsidRPr="008E0F60" w:rsidRDefault="00A902F5" w:rsidP="008E0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F4E" id="_x0000_s1028" type="#_x0000_t202" style="position:absolute;margin-left:459pt;margin-top:4.95pt;width:262.65pt;height:11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" stroked="f">
                <v:textbox>
                  <w:txbxContent>
                    <w:p w14:paraId="61466F6D" w14:textId="5D4E3382" w:rsidR="00A659B5" w:rsidRPr="00CD5285" w:rsidRDefault="00072234" w:rsidP="00CD5285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 xml:space="preserve">Map to </w:t>
                      </w:r>
                      <w:r w:rsidR="00430A2E" w:rsidRPr="00CD5285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business value</w:t>
                      </w:r>
                    </w:p>
                    <w:p w14:paraId="106F24A4" w14:textId="18E4A5FC" w:rsidR="006A0C33" w:rsidRPr="003A7AF8" w:rsidRDefault="00250AAF" w:rsidP="003A7AF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</w:t>
                      </w:r>
                      <w:r w:rsidR="003A4CD7" w:rsidRPr="003A7AF8">
                        <w:rPr>
                          <w:sz w:val="20"/>
                        </w:rPr>
                        <w:t xml:space="preserve">he </w:t>
                      </w:r>
                      <w:r w:rsidR="00F87109">
                        <w:rPr>
                          <w:sz w:val="20"/>
                        </w:rPr>
                        <w:t xml:space="preserve">aiLabs </w:t>
                      </w:r>
                      <w:r w:rsidR="003A4CD7" w:rsidRPr="003A7AF8">
                        <w:rPr>
                          <w:sz w:val="20"/>
                        </w:rPr>
                        <w:t xml:space="preserve">Innovation Target that supports </w:t>
                      </w:r>
                      <w:r>
                        <w:rPr>
                          <w:sz w:val="20"/>
                        </w:rPr>
                        <w:t>this request is</w:t>
                      </w:r>
                      <w:r w:rsidR="005F3353">
                        <w:rPr>
                          <w:sz w:val="20"/>
                        </w:rPr>
                        <w:t>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1624C6">
                        <w:rPr>
                          <w:sz w:val="20"/>
                        </w:rPr>
                        <w:t>Interactive Orbital Warfare Training</w:t>
                      </w:r>
                      <w:r>
                        <w:rPr>
                          <w:sz w:val="20"/>
                        </w:rPr>
                        <w:t>.</w:t>
                      </w:r>
                      <w:r w:rsidR="00C85AB4">
                        <w:rPr>
                          <w:sz w:val="20"/>
                        </w:rPr>
                        <w:t xml:space="preserve"> </w:t>
                      </w:r>
                      <w:r w:rsidR="007E5270">
                        <w:rPr>
                          <w:sz w:val="20"/>
                        </w:rPr>
                        <w:t xml:space="preserve">The target customer is the USSF NSTTC. </w:t>
                      </w:r>
                      <w:r w:rsidR="00C85AB4">
                        <w:rPr>
                          <w:sz w:val="20"/>
                        </w:rPr>
                        <w:t xml:space="preserve">Additionally, this </w:t>
                      </w:r>
                      <w:r w:rsidR="00D9400F">
                        <w:rPr>
                          <w:sz w:val="20"/>
                        </w:rPr>
                        <w:t>initiative</w:t>
                      </w:r>
                      <w:r w:rsidR="00C85AB4">
                        <w:rPr>
                          <w:sz w:val="20"/>
                        </w:rPr>
                        <w:t xml:space="preserve"> would expand our current USSF training </w:t>
                      </w:r>
                      <w:r w:rsidR="007E5270">
                        <w:rPr>
                          <w:sz w:val="20"/>
                        </w:rPr>
                        <w:t>beachhead</w:t>
                      </w:r>
                      <w:r w:rsidR="00C85AB4">
                        <w:rPr>
                          <w:sz w:val="20"/>
                        </w:rPr>
                        <w:t xml:space="preserve"> beyond </w:t>
                      </w:r>
                      <w:proofErr w:type="spellStart"/>
                      <w:r w:rsidR="00C85AB4">
                        <w:rPr>
                          <w:sz w:val="20"/>
                        </w:rPr>
                        <w:t>ObsSIM</w:t>
                      </w:r>
                      <w:proofErr w:type="spellEnd"/>
                      <w:r w:rsidR="00C85AB4">
                        <w:rPr>
                          <w:sz w:val="20"/>
                        </w:rPr>
                        <w:t xml:space="preserve"> and JCO Sensor Calibration support.</w:t>
                      </w:r>
                    </w:p>
                    <w:p w14:paraId="61466F6F" w14:textId="77777777" w:rsidR="008E0F60" w:rsidRDefault="008E0F60" w:rsidP="008E0F60">
                      <w:pPr>
                        <w:pStyle w:val="ListParagraph"/>
                        <w:spacing w:after="0"/>
                        <w:ind w:left="360"/>
                        <w:rPr>
                          <w:sz w:val="20"/>
                        </w:rPr>
                      </w:pPr>
                    </w:p>
                    <w:p w14:paraId="61466F70" w14:textId="77777777" w:rsidR="00A902F5" w:rsidRPr="008E0F60" w:rsidRDefault="00A902F5" w:rsidP="008E0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66F3C" w14:textId="6CBBC710" w:rsidR="00BF065B" w:rsidRDefault="00BF065B"/>
    <w:p w14:paraId="61466F3D" w14:textId="36A3AC43" w:rsidR="00BF065B" w:rsidRDefault="00BF065B"/>
    <w:p w14:paraId="61466F3E" w14:textId="5FCEDDB6" w:rsidR="00BF065B" w:rsidRDefault="00A106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66F4C" wp14:editId="30651E38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5715000" cy="13716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68" w14:textId="77777777" w:rsidR="00A659B5" w:rsidRPr="00CD5285" w:rsidRDefault="00A659B5" w:rsidP="00CD5285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 w:rsidRPr="00CD5285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OVERVIEW</w:t>
                            </w:r>
                          </w:p>
                          <w:p w14:paraId="5039792A" w14:textId="7116CB5E" w:rsidR="00072234" w:rsidRPr="00DA38AE" w:rsidRDefault="00C35117" w:rsidP="00C35117">
                            <w:pPr>
                              <w:spacing w:after="0"/>
                              <w:ind w:righ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 October 2022, the </w:t>
                            </w:r>
                            <w:r w:rsidR="004D30BA">
                              <w:rPr>
                                <w:sz w:val="20"/>
                              </w:rPr>
                              <w:t>USSF released a document outlining the vision for NSTTC which</w:t>
                            </w:r>
                            <w:r w:rsidR="007E2CD1">
                              <w:rPr>
                                <w:sz w:val="20"/>
                              </w:rPr>
                              <w:t xml:space="preserve"> specifically calls for an orbital Red vs Blue modeling and simulation environment.</w:t>
                            </w:r>
                            <w:r w:rsidR="004D30BA">
                              <w:rPr>
                                <w:sz w:val="20"/>
                              </w:rPr>
                              <w:t xml:space="preserve"> </w:t>
                            </w:r>
                            <w:r w:rsidR="00D359CA">
                              <w:rPr>
                                <w:sz w:val="20"/>
                              </w:rPr>
                              <w:t xml:space="preserve">Talks by senior USSF officers at the 2023 Space Symposium indicated the USSF’s intent to secure funding for </w:t>
                            </w:r>
                            <w:r w:rsidR="00C85AB4">
                              <w:rPr>
                                <w:sz w:val="20"/>
                              </w:rPr>
                              <w:t>various NSTTC objectives</w:t>
                            </w:r>
                            <w:r w:rsidR="00D359CA">
                              <w:rPr>
                                <w:sz w:val="20"/>
                              </w:rPr>
                              <w:t xml:space="preserve">. </w:t>
                            </w:r>
                            <w:r w:rsidR="004D30BA">
                              <w:rPr>
                                <w:sz w:val="20"/>
                              </w:rPr>
                              <w:t xml:space="preserve">This aiLabs initiative will result in a </w:t>
                            </w:r>
                            <w:r w:rsidR="00D359CA">
                              <w:rPr>
                                <w:sz w:val="20"/>
                              </w:rPr>
                              <w:t xml:space="preserve">demonstratable </w:t>
                            </w:r>
                            <w:r w:rsidR="007E5270">
                              <w:rPr>
                                <w:sz w:val="20"/>
                              </w:rPr>
                              <w:t xml:space="preserve">wargame </w:t>
                            </w:r>
                            <w:r w:rsidR="00C85AB4">
                              <w:rPr>
                                <w:sz w:val="20"/>
                              </w:rPr>
                              <w:t>capability</w:t>
                            </w:r>
                            <w:r w:rsidR="007E5270">
                              <w:rPr>
                                <w:sz w:val="20"/>
                              </w:rPr>
                              <w:t xml:space="preserve"> (powered by FreeFlyer)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</w:t>
                            </w:r>
                            <w:r w:rsidR="004D30BA">
                              <w:rPr>
                                <w:sz w:val="20"/>
                              </w:rPr>
                              <w:t xml:space="preserve">which will act as a springboard for a.i. solutions to bid on future </w:t>
                            </w:r>
                            <w:r w:rsidR="00EA4EEA">
                              <w:rPr>
                                <w:sz w:val="20"/>
                              </w:rPr>
                              <w:t xml:space="preserve">USSF </w:t>
                            </w:r>
                            <w:r w:rsidR="004D30BA">
                              <w:rPr>
                                <w:sz w:val="20"/>
                              </w:rPr>
                              <w:t>contract</w:t>
                            </w:r>
                            <w:r w:rsidR="00EA4EEA">
                              <w:rPr>
                                <w:sz w:val="20"/>
                              </w:rPr>
                              <w:t>s</w:t>
                            </w:r>
                            <w:r w:rsidR="004D30BA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F4C" id="_x0000_s1029" type="#_x0000_t202" style="position:absolute;margin-left:0;margin-top:12.35pt;width:450pt;height:10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" stroked="f">
                <v:textbox>
                  <w:txbxContent>
                    <w:p w14:paraId="61466F68" w14:textId="77777777" w:rsidR="00A659B5" w:rsidRPr="00CD5285" w:rsidRDefault="00A659B5" w:rsidP="00CD5285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 w:rsidRPr="00CD5285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OVERVIEW</w:t>
                      </w:r>
                    </w:p>
                    <w:p w14:paraId="5039792A" w14:textId="7116CB5E" w:rsidR="00072234" w:rsidRPr="00DA38AE" w:rsidRDefault="00C35117" w:rsidP="00C35117">
                      <w:pPr>
                        <w:spacing w:after="0"/>
                        <w:ind w:righ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In October 2022, the </w:t>
                      </w:r>
                      <w:r w:rsidR="004D30BA">
                        <w:rPr>
                          <w:sz w:val="20"/>
                        </w:rPr>
                        <w:t>USSF released a document outlining the vision for NSTTC which</w:t>
                      </w:r>
                      <w:r w:rsidR="007E2CD1">
                        <w:rPr>
                          <w:sz w:val="20"/>
                        </w:rPr>
                        <w:t xml:space="preserve"> specifically calls for an orbital </w:t>
                      </w:r>
                      <w:proofErr w:type="gramStart"/>
                      <w:r w:rsidR="007E2CD1">
                        <w:rPr>
                          <w:sz w:val="20"/>
                        </w:rPr>
                        <w:t>Red</w:t>
                      </w:r>
                      <w:proofErr w:type="gramEnd"/>
                      <w:r w:rsidR="007E2CD1">
                        <w:rPr>
                          <w:sz w:val="20"/>
                        </w:rPr>
                        <w:t xml:space="preserve"> vs Blue modeling and simulation environment.</w:t>
                      </w:r>
                      <w:r w:rsidR="004D30BA">
                        <w:rPr>
                          <w:sz w:val="20"/>
                        </w:rPr>
                        <w:t xml:space="preserve"> </w:t>
                      </w:r>
                      <w:r w:rsidR="00D359CA">
                        <w:rPr>
                          <w:sz w:val="20"/>
                        </w:rPr>
                        <w:t xml:space="preserve">Talks by senior USSF officers at the 2023 Space Symposium indicated the USSF’s intent to secure funding for </w:t>
                      </w:r>
                      <w:r w:rsidR="00C85AB4">
                        <w:rPr>
                          <w:sz w:val="20"/>
                        </w:rPr>
                        <w:t>various NSTTC objectives</w:t>
                      </w:r>
                      <w:r w:rsidR="00D359CA">
                        <w:rPr>
                          <w:sz w:val="20"/>
                        </w:rPr>
                        <w:t xml:space="preserve">. </w:t>
                      </w:r>
                      <w:r w:rsidR="004D30BA">
                        <w:rPr>
                          <w:sz w:val="20"/>
                        </w:rPr>
                        <w:t xml:space="preserve">This aiLabs initiative will result in a </w:t>
                      </w:r>
                      <w:r w:rsidR="00D359CA">
                        <w:rPr>
                          <w:sz w:val="20"/>
                        </w:rPr>
                        <w:t xml:space="preserve">demonstratable </w:t>
                      </w:r>
                      <w:r w:rsidR="007E5270">
                        <w:rPr>
                          <w:sz w:val="20"/>
                        </w:rPr>
                        <w:t xml:space="preserve">wargame </w:t>
                      </w:r>
                      <w:r w:rsidR="00C85AB4">
                        <w:rPr>
                          <w:sz w:val="20"/>
                        </w:rPr>
                        <w:t>capability</w:t>
                      </w:r>
                      <w:r w:rsidR="007E5270">
                        <w:rPr>
                          <w:sz w:val="20"/>
                        </w:rPr>
                        <w:t xml:space="preserve"> (powered by FreeFlyer)</w:t>
                      </w:r>
                      <w:r w:rsidR="00C85AB4">
                        <w:rPr>
                          <w:sz w:val="20"/>
                        </w:rPr>
                        <w:t xml:space="preserve"> </w:t>
                      </w:r>
                      <w:r w:rsidR="004D30BA">
                        <w:rPr>
                          <w:sz w:val="20"/>
                        </w:rPr>
                        <w:t xml:space="preserve">which will act as a springboard for a.i. solutions to bid on future </w:t>
                      </w:r>
                      <w:r w:rsidR="00EA4EEA">
                        <w:rPr>
                          <w:sz w:val="20"/>
                        </w:rPr>
                        <w:t xml:space="preserve">USSF </w:t>
                      </w:r>
                      <w:r w:rsidR="004D30BA">
                        <w:rPr>
                          <w:sz w:val="20"/>
                        </w:rPr>
                        <w:t>contract</w:t>
                      </w:r>
                      <w:r w:rsidR="00EA4EEA">
                        <w:rPr>
                          <w:sz w:val="20"/>
                        </w:rPr>
                        <w:t>s</w:t>
                      </w:r>
                      <w:r w:rsidR="004D30BA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466F3F" w14:textId="1E1C698F" w:rsidR="00BF065B" w:rsidRDefault="00F87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1466F5C" wp14:editId="2E17684D">
                <wp:simplePos x="0" y="0"/>
                <wp:positionH relativeFrom="column">
                  <wp:posOffset>5829300</wp:posOffset>
                </wp:positionH>
                <wp:positionV relativeFrom="paragraph">
                  <wp:posOffset>281306</wp:posOffset>
                </wp:positionV>
                <wp:extent cx="3343275" cy="42862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C7" w14:textId="5C50C627" w:rsidR="00BF065B" w:rsidRPr="00430A2E" w:rsidRDefault="00430A2E" w:rsidP="00430A2E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 w:rsidRPr="00430A2E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Resources</w:t>
                            </w:r>
                          </w:p>
                          <w:p w14:paraId="76DC6A8A" w14:textId="247EA715" w:rsidR="00430A2E" w:rsidRPr="00430A2E" w:rsidRDefault="00430A2E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Pr="00430A2E">
                              <w:rPr>
                                <w:sz w:val="20"/>
                                <w:szCs w:val="20"/>
                              </w:rPr>
                              <w:t>Duration</w:t>
                            </w:r>
                            <w:r w:rsidR="00B93FF2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A4EEA" w:rsidRPr="00C606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 months</w:t>
                            </w:r>
                          </w:p>
                          <w:p w14:paraId="23A5F94C" w14:textId="1DF76CD8" w:rsidR="00430A2E" w:rsidRPr="00B93FF2" w:rsidRDefault="00430A2E" w:rsidP="00430A2E">
                            <w:pPr>
                              <w:spacing w:after="0"/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Proposed </w:t>
                            </w:r>
                            <w:r w:rsidRPr="00430A2E">
                              <w:rPr>
                                <w:sz w:val="20"/>
                                <w:szCs w:val="20"/>
                              </w:rPr>
                              <w:t>Start Date</w:t>
                            </w:r>
                            <w:r w:rsidRPr="00EA4EEA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B93FF2" w:rsidRPr="00EA4EE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5270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7/10/2023</w:t>
                            </w:r>
                          </w:p>
                          <w:p w14:paraId="3CBEF3B2" w14:textId="284C64C9" w:rsidR="003A4CD7" w:rsidRPr="00EA4EEA" w:rsidRDefault="003A4CD7" w:rsidP="003A4CD7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Proposed </w:t>
                            </w:r>
                            <w:r w:rsidRPr="00430A2E">
                              <w:rPr>
                                <w:sz w:val="20"/>
                                <w:szCs w:val="20"/>
                              </w:rPr>
                              <w:t xml:space="preserve">End Date: </w:t>
                            </w:r>
                            <w:r w:rsidR="00884A3F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9</w:t>
                            </w:r>
                            <w:r w:rsidR="007E5270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/1</w:t>
                            </w:r>
                            <w:r w:rsidR="00884A3F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="007E5270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0632020A" w14:textId="77777777" w:rsidR="00884A3F" w:rsidRDefault="003A4CD7" w:rsidP="003A4CD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Need-</w:t>
                            </w:r>
                            <w:r w:rsidR="003A7AF8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Pr="00430A2E"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(if applicable to business need)</w:t>
                            </w:r>
                            <w:r w:rsidRPr="00430A2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0497C617" w14:textId="11F91BBC" w:rsidR="003A4CD7" w:rsidRPr="00EA4EEA" w:rsidRDefault="00884A3F" w:rsidP="003A4CD7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9/11/2023 for demo at AMOS conference</w:t>
                            </w:r>
                          </w:p>
                          <w:p w14:paraId="3686B923" w14:textId="77777777" w:rsidR="00B93FF2" w:rsidRPr="00B93FF2" w:rsidRDefault="00B93FF2" w:rsidP="00430A2E">
                            <w:pPr>
                              <w:spacing w:after="0"/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0680C83E" w14:textId="522096B9" w:rsidR="00B93FF2" w:rsidRPr="00B93FF2" w:rsidRDefault="00B93FF2" w:rsidP="00430A2E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</w:pPr>
                            <w:r w:rsidRPr="00B93FF2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Staff</w:t>
                            </w:r>
                            <w:r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1"/>
                              <w:gridCol w:w="1866"/>
                            </w:tblGrid>
                            <w:tr w:rsidR="00B93FF2" w14:paraId="20AC98C7" w14:textId="77777777" w:rsidTr="007E5270">
                              <w:tc>
                                <w:tcPr>
                                  <w:tcW w:w="3081" w:type="dxa"/>
                                </w:tcPr>
                                <w:p w14:paraId="798DCC56" w14:textId="781BC9EA" w:rsidR="00B93FF2" w:rsidRPr="00B93FF2" w:rsidRDefault="00B93FF2" w:rsidP="00430A2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93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Team Member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4FE5098F" w14:textId="6A8A77C4" w:rsidR="00B93FF2" w:rsidRPr="00B93FF2" w:rsidRDefault="00B93FF2" w:rsidP="00430A2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B93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Allocation (%)</w:t>
                                  </w:r>
                                </w:p>
                              </w:tc>
                            </w:tr>
                            <w:tr w:rsidR="00B93FF2" w14:paraId="59B9EBFD" w14:textId="77777777" w:rsidTr="007E5270">
                              <w:tc>
                                <w:tcPr>
                                  <w:tcW w:w="3081" w:type="dxa"/>
                                </w:tcPr>
                                <w:p w14:paraId="186DDE5E" w14:textId="286F2804" w:rsidR="00B93FF2" w:rsidRPr="00EA4EEA" w:rsidRDefault="007E5270" w:rsidP="00430A2E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EA4EEA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Luke Schoenwetter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14:paraId="49F867FB" w14:textId="0FBD36D9" w:rsidR="00B93FF2" w:rsidRPr="00EA4EEA" w:rsidRDefault="007E5270" w:rsidP="00430A2E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EA4EEA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884A3F" w:rsidRPr="00EA4EEA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B93FF2" w:rsidRPr="00EA4EEA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07DE5CE6" w14:textId="77777777" w:rsidR="00B93FF2" w:rsidRDefault="00B93FF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94AA8D" w14:textId="1F3C3AC2" w:rsidR="00B93FF2" w:rsidRPr="00B93FF2" w:rsidRDefault="00430A2E" w:rsidP="00B93FF2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</w:pPr>
                            <w:r w:rsidRPr="00B93FF2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Direct Costs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6"/>
                              <w:gridCol w:w="1861"/>
                            </w:tblGrid>
                            <w:tr w:rsidR="00B93FF2" w14:paraId="2A640E74" w14:textId="77777777" w:rsidTr="00884A3F">
                              <w:tc>
                                <w:tcPr>
                                  <w:tcW w:w="3086" w:type="dxa"/>
                                </w:tcPr>
                                <w:p w14:paraId="455FB8F1" w14:textId="2F1D7674" w:rsidR="00B93FF2" w:rsidRPr="00B93FF2" w:rsidRDefault="00B93FF2" w:rsidP="00B93FF2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0446C79A" w14:textId="291F73AB" w:rsidR="00B93FF2" w:rsidRPr="00B93FF2" w:rsidRDefault="00B93FF2" w:rsidP="00B93FF2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Cost</w:t>
                                  </w:r>
                                  <w:r w:rsidRPr="00B93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r w:rsidRPr="00B93F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B93FF2" w14:paraId="68BD5CF6" w14:textId="77777777" w:rsidTr="00884A3F">
                              <w:tc>
                                <w:tcPr>
                                  <w:tcW w:w="3086" w:type="dxa"/>
                                </w:tcPr>
                                <w:p w14:paraId="5B8B31C2" w14:textId="637E25FB" w:rsidR="00B93FF2" w:rsidRPr="00CD5285" w:rsidRDefault="00F87109" w:rsidP="00B93FF2">
                                  <w:pPr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0600D378" w14:textId="2272EB8C" w:rsidR="00B93FF2" w:rsidRPr="00CD5285" w:rsidRDefault="00B93FF2" w:rsidP="00B93FF2">
                                  <w:pPr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  <w:r w:rsidRPr="00CD5285"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r w:rsidR="00884A3F"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106E0" w14:paraId="43C43779" w14:textId="77777777" w:rsidTr="00884A3F">
                              <w:tc>
                                <w:tcPr>
                                  <w:tcW w:w="3086" w:type="dxa"/>
                                </w:tcPr>
                                <w:p w14:paraId="577937BC" w14:textId="5098089D" w:rsidR="00A106E0" w:rsidRPr="00CD5285" w:rsidRDefault="00A106E0" w:rsidP="00B93FF2">
                                  <w:pPr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  <w:r w:rsidRPr="00A106E0">
                                    <w:rPr>
                                      <w:i/>
                                      <w:i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605BFB4A" w14:textId="0A5F233B" w:rsidR="00A106E0" w:rsidRPr="00CD5285" w:rsidRDefault="00A106E0" w:rsidP="00B93FF2">
                                  <w:pPr>
                                    <w:rPr>
                                      <w:i/>
                                      <w:iCs/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</w:pPr>
                                  <w:r w:rsidRPr="00F87109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r w:rsidR="00884A3F" w:rsidRPr="00F87109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9A3E1DC" w14:textId="43A43650" w:rsidR="00430A2E" w:rsidRDefault="00430A2E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A07BD0" w14:textId="77777777" w:rsidR="00343152" w:rsidRDefault="0034315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E7E74E" w14:textId="77777777" w:rsidR="00343152" w:rsidRDefault="0034315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ABA6CF" w14:textId="77777777" w:rsidR="00F87109" w:rsidRDefault="00F87109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2CCC44" w14:textId="77777777" w:rsidR="00343152" w:rsidRDefault="0034315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108627" w14:textId="77777777" w:rsidR="00343152" w:rsidRDefault="0034315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799F90" w14:textId="6505A929" w:rsidR="00343152" w:rsidRPr="00B93FF2" w:rsidRDefault="00343152" w:rsidP="00343152">
                            <w:pPr>
                              <w:spacing w:after="0"/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</w:rPr>
                              <w:t>TOTAL COST</w:t>
                            </w:r>
                            <w:r w:rsidRPr="00CD5285"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49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5"/>
                            </w:tblGrid>
                            <w:tr w:rsidR="00B2449E" w14:paraId="6E9A1242" w14:textId="77777777" w:rsidTr="00B2449E">
                              <w:tc>
                                <w:tcPr>
                                  <w:tcW w:w="4945" w:type="dxa"/>
                                </w:tcPr>
                                <w:p w14:paraId="6A0F78CC" w14:textId="6DC35A0B" w:rsidR="00B2449E" w:rsidRPr="00B93FF2" w:rsidRDefault="00F87109" w:rsidP="00343152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87109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$8,300</w:t>
                                  </w:r>
                                </w:p>
                              </w:tc>
                            </w:tr>
                          </w:tbl>
                          <w:p w14:paraId="2B12EA3A" w14:textId="77777777" w:rsidR="00343152" w:rsidRPr="00430A2E" w:rsidRDefault="00343152" w:rsidP="00430A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66F5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59pt;margin-top:22.15pt;width:263.25pt;height:337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" stroked="f">
                <v:textbox>
                  <w:txbxContent>
                    <w:p w14:paraId="61466FC7" w14:textId="5C50C627" w:rsidR="00BF065B" w:rsidRPr="00430A2E" w:rsidRDefault="00430A2E" w:rsidP="00430A2E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 w:rsidRPr="00430A2E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Resources</w:t>
                      </w:r>
                    </w:p>
                    <w:p w14:paraId="76DC6A8A" w14:textId="247EA715" w:rsidR="00430A2E" w:rsidRPr="00430A2E" w:rsidRDefault="00430A2E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Project </w:t>
                      </w:r>
                      <w:r w:rsidRPr="00430A2E">
                        <w:rPr>
                          <w:sz w:val="20"/>
                          <w:szCs w:val="20"/>
                        </w:rPr>
                        <w:t>Duration</w:t>
                      </w:r>
                      <w:r w:rsidR="00B93FF2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EA4EEA" w:rsidRPr="00C60647">
                        <w:rPr>
                          <w:i/>
                          <w:iCs/>
                          <w:sz w:val="20"/>
                          <w:szCs w:val="20"/>
                        </w:rPr>
                        <w:t>2 months</w:t>
                      </w:r>
                    </w:p>
                    <w:p w14:paraId="23A5F94C" w14:textId="1DF76CD8" w:rsidR="00430A2E" w:rsidRPr="00B93FF2" w:rsidRDefault="00430A2E" w:rsidP="00430A2E">
                      <w:pPr>
                        <w:spacing w:after="0"/>
                        <w:rPr>
                          <w:i/>
                          <w:iCs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Proposed </w:t>
                      </w:r>
                      <w:r w:rsidRPr="00430A2E">
                        <w:rPr>
                          <w:sz w:val="20"/>
                          <w:szCs w:val="20"/>
                        </w:rPr>
                        <w:t>Start Date</w:t>
                      </w:r>
                      <w:r w:rsidRPr="00EA4EEA">
                        <w:rPr>
                          <w:sz w:val="20"/>
                          <w:szCs w:val="20"/>
                        </w:rPr>
                        <w:t>:</w:t>
                      </w:r>
                      <w:r w:rsidR="00B93FF2" w:rsidRPr="00EA4EE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E5270" w:rsidRPr="00EA4EEA">
                        <w:rPr>
                          <w:i/>
                          <w:iCs/>
                          <w:sz w:val="20"/>
                          <w:szCs w:val="20"/>
                        </w:rPr>
                        <w:t>7/10/2023</w:t>
                      </w:r>
                    </w:p>
                    <w:p w14:paraId="3CBEF3B2" w14:textId="284C64C9" w:rsidR="003A4CD7" w:rsidRPr="00EA4EEA" w:rsidRDefault="003A4CD7" w:rsidP="003A4CD7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Proposed </w:t>
                      </w:r>
                      <w:r w:rsidRPr="00430A2E">
                        <w:rPr>
                          <w:sz w:val="20"/>
                          <w:szCs w:val="20"/>
                        </w:rPr>
                        <w:t xml:space="preserve">End Date: </w:t>
                      </w:r>
                      <w:r w:rsidR="00884A3F" w:rsidRPr="00EA4EEA">
                        <w:rPr>
                          <w:i/>
                          <w:iCs/>
                          <w:sz w:val="20"/>
                          <w:szCs w:val="20"/>
                        </w:rPr>
                        <w:t>9</w:t>
                      </w:r>
                      <w:r w:rsidR="007E5270" w:rsidRPr="00EA4EEA">
                        <w:rPr>
                          <w:i/>
                          <w:iCs/>
                          <w:sz w:val="20"/>
                          <w:szCs w:val="20"/>
                        </w:rPr>
                        <w:t>/1</w:t>
                      </w:r>
                      <w:r w:rsidR="00884A3F" w:rsidRPr="00EA4EEA"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="007E5270" w:rsidRPr="00EA4EEA"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0632020A" w14:textId="77777777" w:rsidR="00884A3F" w:rsidRDefault="003A4CD7" w:rsidP="003A4CD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Need-</w:t>
                      </w:r>
                      <w:r w:rsidR="003A7AF8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y </w:t>
                      </w:r>
                      <w:r w:rsidRPr="00430A2E">
                        <w:rPr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sz w:val="20"/>
                          <w:szCs w:val="20"/>
                        </w:rPr>
                        <w:t xml:space="preserve"> (if applicable to business need)</w:t>
                      </w:r>
                      <w:r w:rsidRPr="00430A2E">
                        <w:rPr>
                          <w:sz w:val="20"/>
                          <w:szCs w:val="20"/>
                        </w:rPr>
                        <w:t xml:space="preserve">: </w:t>
                      </w:r>
                    </w:p>
                    <w:p w14:paraId="0497C617" w14:textId="11F91BBC" w:rsidR="003A4CD7" w:rsidRPr="00EA4EEA" w:rsidRDefault="00884A3F" w:rsidP="003A4CD7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EA4EEA">
                        <w:rPr>
                          <w:i/>
                          <w:iCs/>
                          <w:sz w:val="20"/>
                          <w:szCs w:val="20"/>
                        </w:rPr>
                        <w:t>9/11/2023 for demo at AMOS conference</w:t>
                      </w:r>
                    </w:p>
                    <w:p w14:paraId="3686B923" w14:textId="77777777" w:rsidR="00B93FF2" w:rsidRPr="00B93FF2" w:rsidRDefault="00B93FF2" w:rsidP="00430A2E">
                      <w:pPr>
                        <w:spacing w:after="0"/>
                        <w:rPr>
                          <w:i/>
                          <w:iCs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0680C83E" w14:textId="522096B9" w:rsidR="00B93FF2" w:rsidRPr="00B93FF2" w:rsidRDefault="00B93FF2" w:rsidP="00430A2E">
                      <w:pPr>
                        <w:spacing w:after="0"/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</w:pPr>
                      <w:r w:rsidRPr="00B93FF2"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  <w:t>Staff</w:t>
                      </w:r>
                      <w:r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1"/>
                        <w:gridCol w:w="1866"/>
                      </w:tblGrid>
                      <w:tr w:rsidR="00B93FF2" w14:paraId="20AC98C7" w14:textId="77777777" w:rsidTr="007E5270">
                        <w:tc>
                          <w:tcPr>
                            <w:tcW w:w="3081" w:type="dxa"/>
                          </w:tcPr>
                          <w:p w14:paraId="798DCC56" w14:textId="781BC9EA" w:rsidR="00B93FF2" w:rsidRPr="00B93FF2" w:rsidRDefault="00B93FF2" w:rsidP="00430A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3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Team Member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14:paraId="4FE5098F" w14:textId="6A8A77C4" w:rsidR="00B93FF2" w:rsidRPr="00B93FF2" w:rsidRDefault="00B93FF2" w:rsidP="00430A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93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Allocation (%)</w:t>
                            </w:r>
                          </w:p>
                        </w:tc>
                      </w:tr>
                      <w:tr w:rsidR="00B93FF2" w14:paraId="59B9EBFD" w14:textId="77777777" w:rsidTr="007E5270">
                        <w:tc>
                          <w:tcPr>
                            <w:tcW w:w="3081" w:type="dxa"/>
                          </w:tcPr>
                          <w:p w14:paraId="186DDE5E" w14:textId="286F2804" w:rsidR="00B93FF2" w:rsidRPr="00EA4EEA" w:rsidRDefault="007E5270" w:rsidP="00430A2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Luke Schoenwetter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14:paraId="49F867FB" w14:textId="0FBD36D9" w:rsidR="00B93FF2" w:rsidRPr="00EA4EEA" w:rsidRDefault="007E5270" w:rsidP="00430A2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884A3F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5</w:t>
                            </w:r>
                            <w:r w:rsidR="00B93FF2" w:rsidRPr="00EA4EE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07DE5CE6" w14:textId="77777777" w:rsidR="00B93FF2" w:rsidRDefault="00B93FF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94AA8D" w14:textId="1F3C3AC2" w:rsidR="00B93FF2" w:rsidRPr="00B93FF2" w:rsidRDefault="00430A2E" w:rsidP="00B93FF2">
                      <w:pPr>
                        <w:spacing w:after="0"/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</w:pPr>
                      <w:r w:rsidRPr="00B93FF2"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  <w:t>Direct Costs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6"/>
                        <w:gridCol w:w="1861"/>
                      </w:tblGrid>
                      <w:tr w:rsidR="00B93FF2" w14:paraId="2A640E74" w14:textId="77777777" w:rsidTr="00884A3F">
                        <w:tc>
                          <w:tcPr>
                            <w:tcW w:w="3086" w:type="dxa"/>
                          </w:tcPr>
                          <w:p w14:paraId="455FB8F1" w14:textId="2F1D7674" w:rsidR="00B93FF2" w:rsidRPr="00B93FF2" w:rsidRDefault="00B93FF2" w:rsidP="00B93FF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0446C79A" w14:textId="291F73AB" w:rsidR="00B93FF2" w:rsidRPr="00B93FF2" w:rsidRDefault="00B93FF2" w:rsidP="00B93FF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Cost</w:t>
                            </w:r>
                            <w:r w:rsidRPr="00B93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  <w:r w:rsidRPr="00B93F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</w:tr>
                      <w:tr w:rsidR="00B93FF2" w14:paraId="68BD5CF6" w14:textId="77777777" w:rsidTr="00884A3F">
                        <w:tc>
                          <w:tcPr>
                            <w:tcW w:w="3086" w:type="dxa"/>
                          </w:tcPr>
                          <w:p w14:paraId="5B8B31C2" w14:textId="637E25FB" w:rsidR="00B93FF2" w:rsidRPr="00CD5285" w:rsidRDefault="00F87109" w:rsidP="00B93FF2">
                            <w:pPr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0600D378" w14:textId="2272EB8C" w:rsidR="00B93FF2" w:rsidRPr="00CD5285" w:rsidRDefault="00B93FF2" w:rsidP="00B93FF2">
                            <w:pPr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D5285"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$</w:t>
                            </w:r>
                            <w:r w:rsidR="00884A3F"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  <w:tr w:rsidR="00A106E0" w14:paraId="43C43779" w14:textId="77777777" w:rsidTr="00884A3F">
                        <w:tc>
                          <w:tcPr>
                            <w:tcW w:w="3086" w:type="dxa"/>
                          </w:tcPr>
                          <w:p w14:paraId="577937BC" w14:textId="5098089D" w:rsidR="00A106E0" w:rsidRPr="00CD5285" w:rsidRDefault="00A106E0" w:rsidP="00B93FF2">
                            <w:pPr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A106E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605BFB4A" w14:textId="0A5F233B" w:rsidR="00A106E0" w:rsidRPr="00CD5285" w:rsidRDefault="00A106E0" w:rsidP="00B93FF2">
                            <w:pPr>
                              <w:rPr>
                                <w:i/>
                                <w:i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871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$</w:t>
                            </w:r>
                            <w:r w:rsidR="00884A3F" w:rsidRPr="00F871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9A3E1DC" w14:textId="43A43650" w:rsidR="00430A2E" w:rsidRDefault="00430A2E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EA07BD0" w14:textId="77777777" w:rsidR="00343152" w:rsidRDefault="0034315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8E7E74E" w14:textId="77777777" w:rsidR="00343152" w:rsidRDefault="0034315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1ABA6CF" w14:textId="77777777" w:rsidR="00F87109" w:rsidRDefault="00F87109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2CCC44" w14:textId="77777777" w:rsidR="00343152" w:rsidRDefault="0034315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9108627" w14:textId="77777777" w:rsidR="00343152" w:rsidRDefault="0034315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2799F90" w14:textId="6505A929" w:rsidR="00343152" w:rsidRPr="00B93FF2" w:rsidRDefault="00343152" w:rsidP="00343152">
                      <w:pPr>
                        <w:spacing w:after="0"/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aps/>
                          <w:sz w:val="20"/>
                          <w:szCs w:val="20"/>
                        </w:rPr>
                        <w:t>TOTAL COST</w:t>
                      </w:r>
                      <w:r w:rsidRPr="00CD5285">
                        <w:rPr>
                          <w:i/>
                          <w:iCs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4945" w:type="dxa"/>
                        <w:tblLook w:val="04A0" w:firstRow="1" w:lastRow="0" w:firstColumn="1" w:lastColumn="0" w:noHBand="0" w:noVBand="1"/>
                      </w:tblPr>
                      <w:tblGrid>
                        <w:gridCol w:w="4945"/>
                      </w:tblGrid>
                      <w:tr w:rsidR="00B2449E" w14:paraId="6E9A1242" w14:textId="77777777" w:rsidTr="00B2449E">
                        <w:tc>
                          <w:tcPr>
                            <w:tcW w:w="4945" w:type="dxa"/>
                          </w:tcPr>
                          <w:p w14:paraId="6A0F78CC" w14:textId="6DC35A0B" w:rsidR="00B2449E" w:rsidRPr="00B93FF2" w:rsidRDefault="00F87109" w:rsidP="00343152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8710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$8,300</w:t>
                            </w:r>
                          </w:p>
                        </w:tc>
                      </w:tr>
                    </w:tbl>
                    <w:p w14:paraId="2B12EA3A" w14:textId="77777777" w:rsidR="00343152" w:rsidRPr="00430A2E" w:rsidRDefault="00343152" w:rsidP="00430A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466F40" w14:textId="7CDB26A5" w:rsidR="00BF065B" w:rsidRDefault="00BF065B"/>
    <w:p w14:paraId="61466F41" w14:textId="3E7241D3" w:rsidR="00BF065B" w:rsidRPr="00BF065B" w:rsidRDefault="00BF065B" w:rsidP="00BF065B">
      <w:pPr>
        <w:spacing w:after="40" w:line="259" w:lineRule="auto"/>
        <w:rPr>
          <w:rFonts w:eastAsiaTheme="minorHAnsi"/>
          <w:b/>
          <w:sz w:val="28"/>
        </w:rPr>
      </w:pPr>
    </w:p>
    <w:p w14:paraId="61466F42" w14:textId="35A647F1" w:rsidR="00BF065B" w:rsidRDefault="00BF065B" w:rsidP="00BF065B">
      <w:pPr>
        <w:spacing w:after="0" w:line="259" w:lineRule="auto"/>
        <w:rPr>
          <w:rFonts w:eastAsiaTheme="minorHAnsi"/>
          <w:b/>
          <w:sz w:val="28"/>
        </w:rPr>
      </w:pPr>
    </w:p>
    <w:p w14:paraId="61466F43" w14:textId="64B1A212" w:rsidR="00BF065B" w:rsidRDefault="00F87109" w:rsidP="00BF065B">
      <w:pPr>
        <w:spacing w:after="0" w:line="259" w:lineRule="auto"/>
        <w:rPr>
          <w:rFonts w:eastAsiaTheme="minorHAnsi"/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0CD0EFB" wp14:editId="0AA28E86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715000" cy="1028700"/>
                <wp:effectExtent l="0" t="0" r="0" b="0"/>
                <wp:wrapNone/>
                <wp:docPr id="1493008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3502" w14:textId="77777777" w:rsidR="0066605F" w:rsidRDefault="0066605F" w:rsidP="0066605F">
                            <w:pPr>
                              <w:spacing w:after="0"/>
                              <w:ind w:right="114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Past Relevant Experience</w:t>
                            </w:r>
                          </w:p>
                          <w:p w14:paraId="7332452C" w14:textId="66D3EAB7" w:rsidR="0066605F" w:rsidRPr="00DA38AE" w:rsidRDefault="0094329A" w:rsidP="0066605F">
                            <w:pPr>
                              <w:spacing w:after="0"/>
                              <w:ind w:right="1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team has a research-based background in applied game theory and adversarial spacecraft encounters as well as the history of anti-satellite tactics.</w:t>
                            </w:r>
                            <w:r w:rsidR="00C845BB">
                              <w:rPr>
                                <w:sz w:val="20"/>
                              </w:rPr>
                              <w:t xml:space="preserve"> (L. Schoenwetter, </w:t>
                            </w:r>
                            <w:r w:rsidR="00C845BB" w:rsidRPr="00C845BB">
                              <w:rPr>
                                <w:i/>
                                <w:iCs/>
                                <w:sz w:val="20"/>
                              </w:rPr>
                              <w:t xml:space="preserve">Game Theory </w:t>
                            </w:r>
                            <w:r w:rsidR="00F87109" w:rsidRPr="00C845BB">
                              <w:rPr>
                                <w:i/>
                                <w:iCs/>
                                <w:sz w:val="20"/>
                              </w:rPr>
                              <w:t>Applications</w:t>
                            </w:r>
                            <w:r w:rsidR="00C845BB" w:rsidRPr="00C845BB">
                              <w:rPr>
                                <w:i/>
                                <w:iCs/>
                                <w:sz w:val="20"/>
                              </w:rPr>
                              <w:t xml:space="preserve"> in Astrodynamics and Space Domain Awareness</w:t>
                            </w:r>
                            <w:r w:rsidR="00C845BB">
                              <w:rPr>
                                <w:sz w:val="20"/>
                              </w:rPr>
                              <w:t>, Master’s thesis, The University of Alabama, August 2021)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0EFB" id="_x0000_s1031" type="#_x0000_t202" style="position:absolute;margin-left:0;margin-top:14.9pt;width:450pt;height:8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" stroked="f">
                <v:textbox>
                  <w:txbxContent>
                    <w:p w14:paraId="25C43502" w14:textId="77777777" w:rsidR="0066605F" w:rsidRDefault="0066605F" w:rsidP="0066605F">
                      <w:pPr>
                        <w:spacing w:after="0"/>
                        <w:ind w:right="114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Past Relevant Experience</w:t>
                      </w:r>
                    </w:p>
                    <w:p w14:paraId="7332452C" w14:textId="66D3EAB7" w:rsidR="0066605F" w:rsidRPr="00DA38AE" w:rsidRDefault="0094329A" w:rsidP="0066605F">
                      <w:pPr>
                        <w:spacing w:after="0"/>
                        <w:ind w:righ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team has a research-based background in applied game theory and adversarial spacecraft encounters as well as the history of anti-satellite tactics.</w:t>
                      </w:r>
                      <w:r w:rsidR="00C845BB">
                        <w:rPr>
                          <w:sz w:val="20"/>
                        </w:rPr>
                        <w:t xml:space="preserve"> (L. Schoenwetter, </w:t>
                      </w:r>
                      <w:r w:rsidR="00C845BB" w:rsidRPr="00C845BB">
                        <w:rPr>
                          <w:i/>
                          <w:iCs/>
                          <w:sz w:val="20"/>
                        </w:rPr>
                        <w:t xml:space="preserve">Game Theory </w:t>
                      </w:r>
                      <w:r w:rsidR="00F87109" w:rsidRPr="00C845BB">
                        <w:rPr>
                          <w:i/>
                          <w:iCs/>
                          <w:sz w:val="20"/>
                        </w:rPr>
                        <w:t>Applications</w:t>
                      </w:r>
                      <w:r w:rsidR="00C845BB" w:rsidRPr="00C845BB">
                        <w:rPr>
                          <w:i/>
                          <w:iCs/>
                          <w:sz w:val="20"/>
                        </w:rPr>
                        <w:t xml:space="preserve"> in Astrodynamics and Space Domain Awareness</w:t>
                      </w:r>
                      <w:r w:rsidR="00C845BB">
                        <w:rPr>
                          <w:sz w:val="20"/>
                        </w:rPr>
                        <w:t>, Master’s thesis, The University of Alabama, August 2021)</w:t>
                      </w:r>
                    </w:p>
                  </w:txbxContent>
                </v:textbox>
              </v:shape>
            </w:pict>
          </mc:Fallback>
        </mc:AlternateContent>
      </w:r>
    </w:p>
    <w:p w14:paraId="61466F44" w14:textId="2823138C" w:rsidR="00BF065B" w:rsidRDefault="00BF065B" w:rsidP="00BF065B">
      <w:pPr>
        <w:spacing w:after="0" w:line="259" w:lineRule="auto"/>
        <w:rPr>
          <w:rFonts w:eastAsiaTheme="minorHAnsi"/>
          <w:b/>
          <w:sz w:val="28"/>
        </w:rPr>
      </w:pPr>
    </w:p>
    <w:p w14:paraId="61466F45" w14:textId="29B57FE6" w:rsidR="00BF065B" w:rsidRDefault="00F87109" w:rsidP="00CD5285">
      <w:pPr>
        <w:spacing w:after="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466F52" wp14:editId="534E1E11">
                <wp:simplePos x="0" y="0"/>
                <wp:positionH relativeFrom="column">
                  <wp:posOffset>2190750</wp:posOffset>
                </wp:positionH>
                <wp:positionV relativeFrom="paragraph">
                  <wp:posOffset>873125</wp:posOffset>
                </wp:positionV>
                <wp:extent cx="3524250" cy="20859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8C" w14:textId="77777777" w:rsidR="00BF065B" w:rsidRPr="00CD5285" w:rsidRDefault="00BF065B" w:rsidP="00CD5285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 w:rsidRPr="00CD5285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ROI POTENTIAL</w:t>
                            </w:r>
                          </w:p>
                          <w:p w14:paraId="05094FC7" w14:textId="75C11767" w:rsidR="0012686E" w:rsidRPr="009E1693" w:rsidRDefault="00F87109" w:rsidP="009E169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Substantial</w:t>
                            </w:r>
                            <w:r w:rsidR="007E5270">
                              <w:rPr>
                                <w:sz w:val="20"/>
                              </w:rPr>
                              <w:t xml:space="preserve"> p</w:t>
                            </w:r>
                            <w:r w:rsidR="00C52610">
                              <w:rPr>
                                <w:sz w:val="20"/>
                              </w:rPr>
                              <w:t>otential exists for return in the form of software sales / support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and brand name recognition</w:t>
                            </w:r>
                            <w:r w:rsidR="00C52610">
                              <w:rPr>
                                <w:sz w:val="20"/>
                              </w:rPr>
                              <w:t>.</w:t>
                            </w:r>
                            <w:r w:rsidR="00250AAF">
                              <w:rPr>
                                <w:sz w:val="20"/>
                              </w:rPr>
                              <w:t xml:space="preserve"> T</w:t>
                            </w:r>
                            <w:r w:rsidR="0094329A">
                              <w:rPr>
                                <w:sz w:val="20"/>
                              </w:rPr>
                              <w:t xml:space="preserve">he 2024 USSF budget proposal </w:t>
                            </w:r>
                            <w:r w:rsidR="00250AAF">
                              <w:rPr>
                                <w:sz w:val="20"/>
                              </w:rPr>
                              <w:t>dedicates</w:t>
                            </w:r>
                            <w:r w:rsidR="0094329A">
                              <w:rPr>
                                <w:sz w:val="20"/>
                              </w:rPr>
                              <w:t xml:space="preserve"> $340m </w:t>
                            </w:r>
                            <w:r w:rsidR="00250AAF">
                              <w:rPr>
                                <w:sz w:val="20"/>
                              </w:rPr>
                              <w:t xml:space="preserve">to </w:t>
                            </w:r>
                            <w:r w:rsidR="00C35117">
                              <w:rPr>
                                <w:sz w:val="20"/>
                              </w:rPr>
                              <w:t>an “operational testing and training infrastructure”.</w:t>
                            </w:r>
                            <w:r w:rsidR="00250AAF">
                              <w:rPr>
                                <w:sz w:val="20"/>
                              </w:rPr>
                              <w:t xml:space="preserve"> </w:t>
                            </w:r>
                            <w:r w:rsidR="00C35117">
                              <w:rPr>
                                <w:sz w:val="20"/>
                              </w:rPr>
                              <w:t>Also, t</w:t>
                            </w:r>
                            <w:r w:rsidR="00250AAF">
                              <w:rPr>
                                <w:sz w:val="20"/>
                              </w:rPr>
                              <w:t>he USSF stated at the 38</w:t>
                            </w:r>
                            <w:r w:rsidR="00250AAF" w:rsidRPr="00250AAF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250AAF">
                              <w:rPr>
                                <w:sz w:val="20"/>
                              </w:rPr>
                              <w:t xml:space="preserve"> Space Symposium that “There are some areas where we absolutely need help from the industry”</w:t>
                            </w:r>
                            <w:r w:rsidR="00C35117">
                              <w:rPr>
                                <w:sz w:val="20"/>
                              </w:rPr>
                              <w:t xml:space="preserve"> when it comes to manifesting the NSTTC.</w:t>
                            </w:r>
                            <w:r w:rsidR="00C85AB4">
                              <w:rPr>
                                <w:sz w:val="20"/>
                              </w:rPr>
                              <w:t xml:space="preserve"> In the long term, securing a contract for building a more extensive wargame suite would give our flagship software a huge name recognition boost inside of USSF.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F52" id="_x0000_s1032" type="#_x0000_t202" style="position:absolute;margin-left:172.5pt;margin-top:68.75pt;width:277.5pt;height:164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" stroked="f">
                <v:textbox>
                  <w:txbxContent>
                    <w:p w14:paraId="61466F8C" w14:textId="77777777" w:rsidR="00BF065B" w:rsidRPr="00CD5285" w:rsidRDefault="00BF065B" w:rsidP="00CD5285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 w:rsidRPr="00CD5285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ROI POTENTIAL</w:t>
                      </w:r>
                    </w:p>
                    <w:p w14:paraId="05094FC7" w14:textId="75C11767" w:rsidR="0012686E" w:rsidRPr="009E1693" w:rsidRDefault="00F87109" w:rsidP="009E169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Substantial</w:t>
                      </w:r>
                      <w:r w:rsidR="007E5270">
                        <w:rPr>
                          <w:sz w:val="20"/>
                        </w:rPr>
                        <w:t xml:space="preserve"> p</w:t>
                      </w:r>
                      <w:r w:rsidR="00C52610">
                        <w:rPr>
                          <w:sz w:val="20"/>
                        </w:rPr>
                        <w:t>otential exists for return in the form of software sales / support</w:t>
                      </w:r>
                      <w:r w:rsidR="00C85AB4">
                        <w:rPr>
                          <w:sz w:val="20"/>
                        </w:rPr>
                        <w:t xml:space="preserve"> and brand name recognition</w:t>
                      </w:r>
                      <w:r w:rsidR="00C52610">
                        <w:rPr>
                          <w:sz w:val="20"/>
                        </w:rPr>
                        <w:t>.</w:t>
                      </w:r>
                      <w:r w:rsidR="00250AAF">
                        <w:rPr>
                          <w:sz w:val="20"/>
                        </w:rPr>
                        <w:t xml:space="preserve"> T</w:t>
                      </w:r>
                      <w:r w:rsidR="0094329A">
                        <w:rPr>
                          <w:sz w:val="20"/>
                        </w:rPr>
                        <w:t xml:space="preserve">he 2024 USSF budget proposal </w:t>
                      </w:r>
                      <w:r w:rsidR="00250AAF">
                        <w:rPr>
                          <w:sz w:val="20"/>
                        </w:rPr>
                        <w:t>dedicates</w:t>
                      </w:r>
                      <w:r w:rsidR="0094329A">
                        <w:rPr>
                          <w:sz w:val="20"/>
                        </w:rPr>
                        <w:t xml:space="preserve"> $340m </w:t>
                      </w:r>
                      <w:r w:rsidR="00250AAF">
                        <w:rPr>
                          <w:sz w:val="20"/>
                        </w:rPr>
                        <w:t xml:space="preserve">to </w:t>
                      </w:r>
                      <w:r w:rsidR="00C35117">
                        <w:rPr>
                          <w:sz w:val="20"/>
                        </w:rPr>
                        <w:t>an “operational testing and training infrastructure”.</w:t>
                      </w:r>
                      <w:r w:rsidR="00250AAF">
                        <w:rPr>
                          <w:sz w:val="20"/>
                        </w:rPr>
                        <w:t xml:space="preserve"> </w:t>
                      </w:r>
                      <w:r w:rsidR="00C35117">
                        <w:rPr>
                          <w:sz w:val="20"/>
                        </w:rPr>
                        <w:t>Also, t</w:t>
                      </w:r>
                      <w:r w:rsidR="00250AAF">
                        <w:rPr>
                          <w:sz w:val="20"/>
                        </w:rPr>
                        <w:t>he USSF stated at the 38</w:t>
                      </w:r>
                      <w:r w:rsidR="00250AAF" w:rsidRPr="00250AAF">
                        <w:rPr>
                          <w:sz w:val="20"/>
                          <w:vertAlign w:val="superscript"/>
                        </w:rPr>
                        <w:t>th</w:t>
                      </w:r>
                      <w:r w:rsidR="00250AAF">
                        <w:rPr>
                          <w:sz w:val="20"/>
                        </w:rPr>
                        <w:t xml:space="preserve"> Space Symposium that “There are some areas where we absolutely need help from the industry”</w:t>
                      </w:r>
                      <w:r w:rsidR="00C35117">
                        <w:rPr>
                          <w:sz w:val="20"/>
                        </w:rPr>
                        <w:t xml:space="preserve"> when it comes to manifesting the NSTTC.</w:t>
                      </w:r>
                      <w:r w:rsidR="00C85AB4">
                        <w:rPr>
                          <w:sz w:val="20"/>
                        </w:rPr>
                        <w:t xml:space="preserve"> In the long term, securing a contract for building a more extensive wargame suite would give our flagship software a huge name recognition </w:t>
                      </w:r>
                      <w:proofErr w:type="gramStart"/>
                      <w:r w:rsidR="00C85AB4">
                        <w:rPr>
                          <w:sz w:val="20"/>
                        </w:rPr>
                        <w:t>boost</w:t>
                      </w:r>
                      <w:proofErr w:type="gramEnd"/>
                      <w:r w:rsidR="00C85AB4">
                        <w:rPr>
                          <w:sz w:val="20"/>
                        </w:rPr>
                        <w:t xml:space="preserve"> inside of USSF.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1466F54" wp14:editId="2B730597">
                <wp:simplePos x="0" y="0"/>
                <wp:positionH relativeFrom="column">
                  <wp:posOffset>0</wp:posOffset>
                </wp:positionH>
                <wp:positionV relativeFrom="paragraph">
                  <wp:posOffset>868680</wp:posOffset>
                </wp:positionV>
                <wp:extent cx="2095500" cy="2190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66F8F" w14:textId="77777777" w:rsidR="00BF065B" w:rsidRPr="00CD5285" w:rsidRDefault="00BF065B" w:rsidP="00CD5285">
                            <w:pPr>
                              <w:spacing w:after="0" w:line="259" w:lineRule="auto"/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</w:pPr>
                            <w:r w:rsidRPr="00CD5285">
                              <w:rPr>
                                <w:rFonts w:eastAsiaTheme="minorHAnsi"/>
                                <w:b/>
                                <w:caps/>
                                <w:color w:val="FF0000"/>
                                <w:sz w:val="28"/>
                              </w:rPr>
                              <w:t>IMPACT IF NOT DONE</w:t>
                            </w:r>
                          </w:p>
                          <w:p w14:paraId="61466F90" w14:textId="1F1F80C6" w:rsidR="00184345" w:rsidRPr="00900037" w:rsidRDefault="005F3353" w:rsidP="00900037">
                            <w:pPr>
                              <w:spacing w:after="12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NSTTC </w:t>
                            </w:r>
                            <w:r w:rsidR="004F2D29">
                              <w:rPr>
                                <w:sz w:val="20"/>
                              </w:rPr>
                              <w:t>is a</w:t>
                            </w:r>
                            <w:r w:rsidR="00DB43A8">
                              <w:rPr>
                                <w:sz w:val="20"/>
                              </w:rPr>
                              <w:t xml:space="preserve">n </w:t>
                            </w:r>
                            <w:r w:rsidR="00D9400F">
                              <w:rPr>
                                <w:sz w:val="20"/>
                              </w:rPr>
                              <w:t>opportunity</w:t>
                            </w:r>
                            <w:r w:rsidR="00DB43A8">
                              <w:rPr>
                                <w:sz w:val="20"/>
                              </w:rPr>
                              <w:t xml:space="preserve"> to be on the leading edge of a</w:t>
                            </w:r>
                            <w:r w:rsidR="004F2D29">
                              <w:rPr>
                                <w:sz w:val="20"/>
                              </w:rPr>
                              <w:t>n emerging</w:t>
                            </w:r>
                            <w:r w:rsidR="00DB43A8">
                              <w:rPr>
                                <w:sz w:val="20"/>
                              </w:rPr>
                              <w:t xml:space="preserve"> technolog</w:t>
                            </w:r>
                            <w:r w:rsidR="004F2D29">
                              <w:rPr>
                                <w:sz w:val="20"/>
                              </w:rPr>
                              <w:t xml:space="preserve">ical </w:t>
                            </w:r>
                            <w:r w:rsidR="00DB43A8">
                              <w:rPr>
                                <w:sz w:val="20"/>
                              </w:rPr>
                              <w:t>arena.</w:t>
                            </w:r>
                            <w:r w:rsidR="004F2D29">
                              <w:rPr>
                                <w:sz w:val="20"/>
                              </w:rPr>
                              <w:t xml:space="preserve"> </w:t>
                            </w:r>
                            <w:r w:rsidR="00C85AB4">
                              <w:rPr>
                                <w:sz w:val="20"/>
                              </w:rPr>
                              <w:t>To our knowledge, no company is currently able to offer the modeling and simulation capabilities needed. That being said, o</w:t>
                            </w:r>
                            <w:r w:rsidR="00DB43A8">
                              <w:rPr>
                                <w:sz w:val="20"/>
                              </w:rPr>
                              <w:t xml:space="preserve">ther </w:t>
                            </w:r>
                            <w:r w:rsidR="004F2D29">
                              <w:rPr>
                                <w:sz w:val="20"/>
                              </w:rPr>
                              <w:t>space companies</w:t>
                            </w:r>
                            <w:r w:rsidR="00DB43A8">
                              <w:rPr>
                                <w:sz w:val="20"/>
                              </w:rPr>
                              <w:t xml:space="preserve"> will absolutely jump on this </w:t>
                            </w:r>
                            <w:r w:rsidR="00D9400F">
                              <w:rPr>
                                <w:sz w:val="20"/>
                              </w:rPr>
                              <w:t>opportunity</w:t>
                            </w:r>
                            <w:r w:rsidR="00C85AB4">
                              <w:rPr>
                                <w:sz w:val="20"/>
                              </w:rPr>
                              <w:t>.</w:t>
                            </w:r>
                            <w:r w:rsidR="00C35117">
                              <w:rPr>
                                <w:sz w:val="20"/>
                              </w:rPr>
                              <w:t xml:space="preserve"> Once we fall behind our competitors, the opp</w:t>
                            </w:r>
                            <w:r w:rsidR="00C85AB4">
                              <w:rPr>
                                <w:sz w:val="20"/>
                              </w:rPr>
                              <w:t>o</w:t>
                            </w:r>
                            <w:r w:rsidR="00C35117">
                              <w:rPr>
                                <w:sz w:val="20"/>
                              </w:rPr>
                              <w:t xml:space="preserve">rtunity is </w:t>
                            </w:r>
                            <w:r>
                              <w:rPr>
                                <w:sz w:val="20"/>
                              </w:rPr>
                              <w:t>severely diminished</w:t>
                            </w:r>
                            <w:r w:rsidR="00C35117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61466F91" w14:textId="77777777" w:rsidR="00197BF2" w:rsidRPr="00184345" w:rsidRDefault="00197BF2" w:rsidP="008E0F60">
                            <w:pPr>
                              <w:pStyle w:val="ListParagraph"/>
                              <w:spacing w:after="120" w:line="240" w:lineRule="auto"/>
                              <w:ind w:left="360"/>
                              <w:contextualSpacing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6F54" id="_x0000_s1033" type="#_x0000_t202" style="position:absolute;margin-left:0;margin-top:68.4pt;width:165pt;height:172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" stroked="f">
                <v:textbox>
                  <w:txbxContent>
                    <w:p w14:paraId="61466F8F" w14:textId="77777777" w:rsidR="00BF065B" w:rsidRPr="00CD5285" w:rsidRDefault="00BF065B" w:rsidP="00CD5285">
                      <w:pPr>
                        <w:spacing w:after="0" w:line="259" w:lineRule="auto"/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</w:pPr>
                      <w:r w:rsidRPr="00CD5285">
                        <w:rPr>
                          <w:rFonts w:eastAsiaTheme="minorHAnsi"/>
                          <w:b/>
                          <w:caps/>
                          <w:color w:val="FF0000"/>
                          <w:sz w:val="28"/>
                        </w:rPr>
                        <w:t>IMPACT IF NOT DONE</w:t>
                      </w:r>
                    </w:p>
                    <w:p w14:paraId="61466F90" w14:textId="1F1F80C6" w:rsidR="00184345" w:rsidRPr="00900037" w:rsidRDefault="005F3353" w:rsidP="00900037">
                      <w:pPr>
                        <w:spacing w:after="12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NSTTC </w:t>
                      </w:r>
                      <w:r w:rsidR="004F2D29">
                        <w:rPr>
                          <w:sz w:val="20"/>
                        </w:rPr>
                        <w:t>is a</w:t>
                      </w:r>
                      <w:r w:rsidR="00DB43A8">
                        <w:rPr>
                          <w:sz w:val="20"/>
                        </w:rPr>
                        <w:t xml:space="preserve">n </w:t>
                      </w:r>
                      <w:r w:rsidR="00D9400F">
                        <w:rPr>
                          <w:sz w:val="20"/>
                        </w:rPr>
                        <w:t>opportunity</w:t>
                      </w:r>
                      <w:r w:rsidR="00DB43A8">
                        <w:rPr>
                          <w:sz w:val="20"/>
                        </w:rPr>
                        <w:t xml:space="preserve"> to be on the leading edge of a</w:t>
                      </w:r>
                      <w:r w:rsidR="004F2D29">
                        <w:rPr>
                          <w:sz w:val="20"/>
                        </w:rPr>
                        <w:t>n emerging</w:t>
                      </w:r>
                      <w:r w:rsidR="00DB43A8">
                        <w:rPr>
                          <w:sz w:val="20"/>
                        </w:rPr>
                        <w:t xml:space="preserve"> technolog</w:t>
                      </w:r>
                      <w:r w:rsidR="004F2D29">
                        <w:rPr>
                          <w:sz w:val="20"/>
                        </w:rPr>
                        <w:t xml:space="preserve">ical </w:t>
                      </w:r>
                      <w:r w:rsidR="00DB43A8">
                        <w:rPr>
                          <w:sz w:val="20"/>
                        </w:rPr>
                        <w:t>arena.</w:t>
                      </w:r>
                      <w:r w:rsidR="004F2D29">
                        <w:rPr>
                          <w:sz w:val="20"/>
                        </w:rPr>
                        <w:t xml:space="preserve"> </w:t>
                      </w:r>
                      <w:r w:rsidR="00C85AB4">
                        <w:rPr>
                          <w:sz w:val="20"/>
                        </w:rPr>
                        <w:t>To our knowledge, no company is currently able to offer the modeling and simulation capabilities needed. That being said, o</w:t>
                      </w:r>
                      <w:r w:rsidR="00DB43A8">
                        <w:rPr>
                          <w:sz w:val="20"/>
                        </w:rPr>
                        <w:t xml:space="preserve">ther </w:t>
                      </w:r>
                      <w:r w:rsidR="004F2D29">
                        <w:rPr>
                          <w:sz w:val="20"/>
                        </w:rPr>
                        <w:t>space companies</w:t>
                      </w:r>
                      <w:r w:rsidR="00DB43A8">
                        <w:rPr>
                          <w:sz w:val="20"/>
                        </w:rPr>
                        <w:t xml:space="preserve"> will absolutely jump on this </w:t>
                      </w:r>
                      <w:r w:rsidR="00D9400F">
                        <w:rPr>
                          <w:sz w:val="20"/>
                        </w:rPr>
                        <w:t>opportunity</w:t>
                      </w:r>
                      <w:r w:rsidR="00C85AB4">
                        <w:rPr>
                          <w:sz w:val="20"/>
                        </w:rPr>
                        <w:t>.</w:t>
                      </w:r>
                      <w:r w:rsidR="00C35117">
                        <w:rPr>
                          <w:sz w:val="20"/>
                        </w:rPr>
                        <w:t xml:space="preserve"> Once we fall behind our competitors, the opp</w:t>
                      </w:r>
                      <w:r w:rsidR="00C85AB4">
                        <w:rPr>
                          <w:sz w:val="20"/>
                        </w:rPr>
                        <w:t>o</w:t>
                      </w:r>
                      <w:r w:rsidR="00C35117">
                        <w:rPr>
                          <w:sz w:val="20"/>
                        </w:rPr>
                        <w:t xml:space="preserve">rtunity is </w:t>
                      </w:r>
                      <w:r>
                        <w:rPr>
                          <w:sz w:val="20"/>
                        </w:rPr>
                        <w:t>severely diminished</w:t>
                      </w:r>
                      <w:r w:rsidR="00C35117">
                        <w:rPr>
                          <w:sz w:val="20"/>
                        </w:rPr>
                        <w:t>.</w:t>
                      </w:r>
                    </w:p>
                    <w:p w14:paraId="61466F91" w14:textId="77777777" w:rsidR="00197BF2" w:rsidRPr="00184345" w:rsidRDefault="00197BF2" w:rsidP="008E0F60">
                      <w:pPr>
                        <w:pStyle w:val="ListParagraph"/>
                        <w:spacing w:after="120" w:line="240" w:lineRule="auto"/>
                        <w:ind w:left="360"/>
                        <w:contextualSpacing w:val="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F065B" w:rsidSect="002B4C52">
      <w:footerReference w:type="default" r:id="rId11"/>
      <w:pgSz w:w="15840" w:h="12240" w:orient="landscape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F9A2" w14:textId="77777777" w:rsidR="00962E04" w:rsidRDefault="00962E04" w:rsidP="00204509">
      <w:pPr>
        <w:spacing w:after="0" w:line="240" w:lineRule="auto"/>
      </w:pPr>
      <w:r>
        <w:separator/>
      </w:r>
    </w:p>
  </w:endnote>
  <w:endnote w:type="continuationSeparator" w:id="0">
    <w:p w14:paraId="40677F11" w14:textId="77777777" w:rsidR="00962E04" w:rsidRDefault="00962E04" w:rsidP="0020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6F62" w14:textId="2AA45B0C" w:rsidR="00204509" w:rsidRPr="00EB0FAF" w:rsidRDefault="0066605F">
    <w:pPr>
      <w:pStyle w:val="Footer"/>
      <w:rPr>
        <w:color w:val="FFFFFF" w:themeColor="background1"/>
      </w:rPr>
    </w:pPr>
    <w:r w:rsidRPr="00EB0FAF">
      <w:rPr>
        <w:i/>
        <w:color w:val="FFFFFF" w:themeColor="background1"/>
        <w:sz w:val="20"/>
      </w:rPr>
      <w:t>aiLabs Initiative Application</w:t>
    </w:r>
    <w:r w:rsidR="00204509" w:rsidRPr="00EB0FAF">
      <w:rPr>
        <w:color w:val="FFFFFF" w:themeColor="background1"/>
      </w:rPr>
      <w:ptab w:relativeTo="margin" w:alignment="center" w:leader="none"/>
    </w:r>
    <w:r w:rsidR="00B46B17" w:rsidRPr="00EB0FAF">
      <w:rPr>
        <w:i/>
        <w:color w:val="FFFFFF" w:themeColor="background1"/>
        <w:sz w:val="20"/>
        <w:szCs w:val="20"/>
      </w:rPr>
      <w:t xml:space="preserve">a.i. solutions </w:t>
    </w:r>
    <w:r w:rsidR="00204509" w:rsidRPr="00EB0FAF">
      <w:rPr>
        <w:i/>
        <w:color w:val="FFFFFF" w:themeColor="background1"/>
        <w:sz w:val="20"/>
        <w:szCs w:val="20"/>
      </w:rPr>
      <w:t xml:space="preserve">Proprietary </w:t>
    </w:r>
    <w:r w:rsidR="00204509" w:rsidRPr="00EB0FAF">
      <w:rPr>
        <w:color w:val="FFFFFF" w:themeColor="background1"/>
        <w:sz w:val="20"/>
        <w:szCs w:val="20"/>
      </w:rPr>
      <w:ptab w:relativeTo="margin" w:alignment="right" w:leader="none"/>
    </w:r>
    <w:r w:rsidR="00EB0FAF">
      <w:rPr>
        <w:i/>
        <w:color w:val="FFFFFF" w:themeColor="background1"/>
        <w:sz w:val="20"/>
        <w:szCs w:val="20"/>
      </w:rPr>
      <w:t>v.05.0</w:t>
    </w:r>
    <w:r w:rsidR="00343152">
      <w:rPr>
        <w:i/>
        <w:color w:val="FFFFFF" w:themeColor="background1"/>
        <w:sz w:val="20"/>
        <w:szCs w:val="20"/>
      </w:rPr>
      <w:t>9</w:t>
    </w:r>
    <w:r w:rsidR="00EB0FAF">
      <w:rPr>
        <w:i/>
        <w:color w:val="FFFFFF" w:themeColor="background1"/>
        <w:sz w:val="20"/>
        <w:szCs w:val="20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23CD" w14:textId="77777777" w:rsidR="00962E04" w:rsidRDefault="00962E04" w:rsidP="00204509">
      <w:pPr>
        <w:spacing w:after="0" w:line="240" w:lineRule="auto"/>
      </w:pPr>
      <w:r>
        <w:separator/>
      </w:r>
    </w:p>
  </w:footnote>
  <w:footnote w:type="continuationSeparator" w:id="0">
    <w:p w14:paraId="42936D7D" w14:textId="77777777" w:rsidR="00962E04" w:rsidRDefault="00962E04" w:rsidP="00204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F92"/>
    <w:multiLevelType w:val="hybridMultilevel"/>
    <w:tmpl w:val="F5AA2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4800AC"/>
    <w:multiLevelType w:val="hybridMultilevel"/>
    <w:tmpl w:val="D6A0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1490"/>
    <w:multiLevelType w:val="hybridMultilevel"/>
    <w:tmpl w:val="259C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61A2C"/>
    <w:multiLevelType w:val="hybridMultilevel"/>
    <w:tmpl w:val="AF92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31634">
    <w:abstractNumId w:val="0"/>
  </w:num>
  <w:num w:numId="2" w16cid:durableId="312608647">
    <w:abstractNumId w:val="2"/>
  </w:num>
  <w:num w:numId="3" w16cid:durableId="2014451000">
    <w:abstractNumId w:val="3"/>
  </w:num>
  <w:num w:numId="4" w16cid:durableId="139015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5B"/>
    <w:rsid w:val="00006FAE"/>
    <w:rsid w:val="00012DD4"/>
    <w:rsid w:val="00037D0B"/>
    <w:rsid w:val="00063587"/>
    <w:rsid w:val="00072234"/>
    <w:rsid w:val="000B63D2"/>
    <w:rsid w:val="00106F72"/>
    <w:rsid w:val="0012686E"/>
    <w:rsid w:val="00143241"/>
    <w:rsid w:val="00153A7E"/>
    <w:rsid w:val="001624C6"/>
    <w:rsid w:val="00184345"/>
    <w:rsid w:val="00193D8D"/>
    <w:rsid w:val="00197BF2"/>
    <w:rsid w:val="00197E8D"/>
    <w:rsid w:val="001A7221"/>
    <w:rsid w:val="001E68E4"/>
    <w:rsid w:val="00203CE1"/>
    <w:rsid w:val="00204509"/>
    <w:rsid w:val="00242BBE"/>
    <w:rsid w:val="00243149"/>
    <w:rsid w:val="00245B2C"/>
    <w:rsid w:val="00245BA4"/>
    <w:rsid w:val="00250AAF"/>
    <w:rsid w:val="00277480"/>
    <w:rsid w:val="00296DA7"/>
    <w:rsid w:val="002B4C52"/>
    <w:rsid w:val="002C0F9D"/>
    <w:rsid w:val="002F3ED4"/>
    <w:rsid w:val="003229D0"/>
    <w:rsid w:val="003261D3"/>
    <w:rsid w:val="003263AA"/>
    <w:rsid w:val="00343152"/>
    <w:rsid w:val="00346078"/>
    <w:rsid w:val="00360389"/>
    <w:rsid w:val="003A4CD7"/>
    <w:rsid w:val="003A7AF8"/>
    <w:rsid w:val="003C5C60"/>
    <w:rsid w:val="003E1528"/>
    <w:rsid w:val="00430A2E"/>
    <w:rsid w:val="00433706"/>
    <w:rsid w:val="00443631"/>
    <w:rsid w:val="004506B0"/>
    <w:rsid w:val="0046639C"/>
    <w:rsid w:val="004A0E87"/>
    <w:rsid w:val="004A48C6"/>
    <w:rsid w:val="004B00C9"/>
    <w:rsid w:val="004C4430"/>
    <w:rsid w:val="004D30BA"/>
    <w:rsid w:val="004F2D29"/>
    <w:rsid w:val="005347F0"/>
    <w:rsid w:val="00563954"/>
    <w:rsid w:val="00593630"/>
    <w:rsid w:val="005B51D4"/>
    <w:rsid w:val="005F1595"/>
    <w:rsid w:val="005F3353"/>
    <w:rsid w:val="00645C91"/>
    <w:rsid w:val="006502FA"/>
    <w:rsid w:val="0066605F"/>
    <w:rsid w:val="00670026"/>
    <w:rsid w:val="006A0C33"/>
    <w:rsid w:val="006C742E"/>
    <w:rsid w:val="006D28F4"/>
    <w:rsid w:val="006E3435"/>
    <w:rsid w:val="00702BAA"/>
    <w:rsid w:val="00716355"/>
    <w:rsid w:val="007235E2"/>
    <w:rsid w:val="0074614C"/>
    <w:rsid w:val="00751515"/>
    <w:rsid w:val="00753B1D"/>
    <w:rsid w:val="00787625"/>
    <w:rsid w:val="00787C6B"/>
    <w:rsid w:val="00792066"/>
    <w:rsid w:val="007A238E"/>
    <w:rsid w:val="007E2CD1"/>
    <w:rsid w:val="007E5270"/>
    <w:rsid w:val="007F46FD"/>
    <w:rsid w:val="007F528B"/>
    <w:rsid w:val="00805E45"/>
    <w:rsid w:val="00811E01"/>
    <w:rsid w:val="00826324"/>
    <w:rsid w:val="00851AB7"/>
    <w:rsid w:val="008551C3"/>
    <w:rsid w:val="00884A3F"/>
    <w:rsid w:val="00894A5F"/>
    <w:rsid w:val="00897017"/>
    <w:rsid w:val="008A21F7"/>
    <w:rsid w:val="008A6184"/>
    <w:rsid w:val="008B630E"/>
    <w:rsid w:val="008C3ECD"/>
    <w:rsid w:val="008D18E0"/>
    <w:rsid w:val="008E0F60"/>
    <w:rsid w:val="00900037"/>
    <w:rsid w:val="00905CBA"/>
    <w:rsid w:val="00906DD5"/>
    <w:rsid w:val="00934597"/>
    <w:rsid w:val="00941FAE"/>
    <w:rsid w:val="0094329A"/>
    <w:rsid w:val="009524B6"/>
    <w:rsid w:val="0095569E"/>
    <w:rsid w:val="0096126F"/>
    <w:rsid w:val="00962E04"/>
    <w:rsid w:val="009E1693"/>
    <w:rsid w:val="00A03D3E"/>
    <w:rsid w:val="00A106E0"/>
    <w:rsid w:val="00A659B5"/>
    <w:rsid w:val="00A902F5"/>
    <w:rsid w:val="00AA15AB"/>
    <w:rsid w:val="00AB6549"/>
    <w:rsid w:val="00AE5F50"/>
    <w:rsid w:val="00B21083"/>
    <w:rsid w:val="00B235A3"/>
    <w:rsid w:val="00B2449E"/>
    <w:rsid w:val="00B2521C"/>
    <w:rsid w:val="00B46B17"/>
    <w:rsid w:val="00B743F0"/>
    <w:rsid w:val="00B93FF2"/>
    <w:rsid w:val="00BA37FA"/>
    <w:rsid w:val="00BF065B"/>
    <w:rsid w:val="00BF3D3C"/>
    <w:rsid w:val="00BF546D"/>
    <w:rsid w:val="00C018F0"/>
    <w:rsid w:val="00C24529"/>
    <w:rsid w:val="00C33286"/>
    <w:rsid w:val="00C35117"/>
    <w:rsid w:val="00C432D8"/>
    <w:rsid w:val="00C52610"/>
    <w:rsid w:val="00C60647"/>
    <w:rsid w:val="00C77865"/>
    <w:rsid w:val="00C77EF1"/>
    <w:rsid w:val="00C803B6"/>
    <w:rsid w:val="00C845BB"/>
    <w:rsid w:val="00C85AB4"/>
    <w:rsid w:val="00C9745D"/>
    <w:rsid w:val="00CA2701"/>
    <w:rsid w:val="00CA3AA3"/>
    <w:rsid w:val="00CA4F45"/>
    <w:rsid w:val="00CA5086"/>
    <w:rsid w:val="00CB3553"/>
    <w:rsid w:val="00CD5285"/>
    <w:rsid w:val="00D359CA"/>
    <w:rsid w:val="00D51D41"/>
    <w:rsid w:val="00D6212D"/>
    <w:rsid w:val="00D631A2"/>
    <w:rsid w:val="00D733BD"/>
    <w:rsid w:val="00D744C8"/>
    <w:rsid w:val="00D85EB4"/>
    <w:rsid w:val="00D9400F"/>
    <w:rsid w:val="00DA0A53"/>
    <w:rsid w:val="00DA38AE"/>
    <w:rsid w:val="00DB413A"/>
    <w:rsid w:val="00DB43A8"/>
    <w:rsid w:val="00DD1D2B"/>
    <w:rsid w:val="00DE0B04"/>
    <w:rsid w:val="00DF4796"/>
    <w:rsid w:val="00DF56DE"/>
    <w:rsid w:val="00E16825"/>
    <w:rsid w:val="00E343BD"/>
    <w:rsid w:val="00E47111"/>
    <w:rsid w:val="00E561A0"/>
    <w:rsid w:val="00E72699"/>
    <w:rsid w:val="00E91FFE"/>
    <w:rsid w:val="00E960D4"/>
    <w:rsid w:val="00EA4EEA"/>
    <w:rsid w:val="00EB0A1F"/>
    <w:rsid w:val="00EB0FAF"/>
    <w:rsid w:val="00ED718C"/>
    <w:rsid w:val="00F01104"/>
    <w:rsid w:val="00F07D2B"/>
    <w:rsid w:val="00F17E00"/>
    <w:rsid w:val="00F34DA5"/>
    <w:rsid w:val="00F6363A"/>
    <w:rsid w:val="00F72888"/>
    <w:rsid w:val="00F77AE4"/>
    <w:rsid w:val="00F87109"/>
    <w:rsid w:val="00F902EC"/>
    <w:rsid w:val="00FC416F"/>
    <w:rsid w:val="00FD758B"/>
    <w:rsid w:val="1128C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66F38"/>
  <w15:docId w15:val="{C314C3C1-4EFC-4C18-B258-3E10D36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152"/>
  </w:style>
  <w:style w:type="paragraph" w:styleId="Heading1">
    <w:name w:val="heading 1"/>
    <w:basedOn w:val="Normal"/>
    <w:next w:val="Normal"/>
    <w:link w:val="Heading1Char"/>
    <w:uiPriority w:val="9"/>
    <w:qFormat/>
    <w:rsid w:val="00BF0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6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6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6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6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6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6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6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65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6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6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6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65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65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06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65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6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06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F065B"/>
    <w:rPr>
      <w:b/>
      <w:bCs/>
    </w:rPr>
  </w:style>
  <w:style w:type="character" w:styleId="Emphasis">
    <w:name w:val="Emphasis"/>
    <w:basedOn w:val="DefaultParagraphFont"/>
    <w:uiPriority w:val="20"/>
    <w:qFormat/>
    <w:rsid w:val="00BF065B"/>
    <w:rPr>
      <w:i/>
      <w:iCs/>
    </w:rPr>
  </w:style>
  <w:style w:type="paragraph" w:styleId="NoSpacing">
    <w:name w:val="No Spacing"/>
    <w:uiPriority w:val="1"/>
    <w:qFormat/>
    <w:rsid w:val="00BF06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06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06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65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65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06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F065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06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06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06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65B"/>
    <w:pPr>
      <w:outlineLvl w:val="9"/>
    </w:pPr>
  </w:style>
  <w:style w:type="table" w:customStyle="1" w:styleId="GridTable1Light1">
    <w:name w:val="Grid Table 1 Light1"/>
    <w:basedOn w:val="TableNormal"/>
    <w:uiPriority w:val="46"/>
    <w:rsid w:val="00BF065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F065B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9"/>
  </w:style>
  <w:style w:type="paragraph" w:styleId="Footer">
    <w:name w:val="footer"/>
    <w:basedOn w:val="Normal"/>
    <w:link w:val="FooterChar"/>
    <w:uiPriority w:val="99"/>
    <w:unhideWhenUsed/>
    <w:rsid w:val="0020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9"/>
  </w:style>
  <w:style w:type="table" w:styleId="TableGrid">
    <w:name w:val="Table Grid"/>
    <w:basedOn w:val="TableNormal"/>
    <w:uiPriority w:val="39"/>
    <w:rsid w:val="00B9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805e9-c10b-4415-8fe5-76a976233634">
      <Terms xmlns="http://schemas.microsoft.com/office/infopath/2007/PartnerControls"/>
    </lcf76f155ced4ddcb4097134ff3c332f>
    <TaxCatchAll xmlns="df59f52b-0dc5-4e15-bfb7-52a995e494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08EBEFE819F549B62795654595848B" ma:contentTypeVersion="14" ma:contentTypeDescription="Create a new document." ma:contentTypeScope="" ma:versionID="c5b90e89168e1787027df9f0a953a016">
  <xsd:schema xmlns:xsd="http://www.w3.org/2001/XMLSchema" xmlns:xs="http://www.w3.org/2001/XMLSchema" xmlns:p="http://schemas.microsoft.com/office/2006/metadata/properties" xmlns:ns2="054805e9-c10b-4415-8fe5-76a976233634" xmlns:ns3="df59f52b-0dc5-4e15-bfb7-52a995e49470" targetNamespace="http://schemas.microsoft.com/office/2006/metadata/properties" ma:root="true" ma:fieldsID="2c8187059043e08282f63a62328b81c3" ns2:_="" ns3:_="">
    <xsd:import namespace="054805e9-c10b-4415-8fe5-76a976233634"/>
    <xsd:import namespace="df59f52b-0dc5-4e15-bfb7-52a995e49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805e9-c10b-4415-8fe5-76a976233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9aeac87-5d57-4229-ace3-81cb042245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9f52b-0dc5-4e15-bfb7-52a995e49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6b9d347-a5e1-49e2-b674-4e10a13cd972}" ma:internalName="TaxCatchAll" ma:showField="CatchAllData" ma:web="df59f52b-0dc5-4e15-bfb7-52a995e494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FC3FCA-A46B-4F67-9C1C-E5415D62690E}">
  <ds:schemaRefs>
    <ds:schemaRef ds:uri="http://schemas.microsoft.com/office/2006/metadata/properties"/>
    <ds:schemaRef ds:uri="http://schemas.microsoft.com/office/infopath/2007/PartnerControls"/>
    <ds:schemaRef ds:uri="054805e9-c10b-4415-8fe5-76a976233634"/>
    <ds:schemaRef ds:uri="df59f52b-0dc5-4e15-bfb7-52a995e49470"/>
  </ds:schemaRefs>
</ds:datastoreItem>
</file>

<file path=customXml/itemProps2.xml><?xml version="1.0" encoding="utf-8"?>
<ds:datastoreItem xmlns:ds="http://schemas.openxmlformats.org/officeDocument/2006/customXml" ds:itemID="{496251E9-BC26-42A7-8047-53DD72BDB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CB5D0-9308-42FE-ABD1-0887C838E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805e9-c10b-4415-8fe5-76a976233634"/>
    <ds:schemaRef ds:uri="df59f52b-0dc5-4e15-bfb7-52a995e49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Smutko, Breanne C. (KSC)[ai solutions]</dc:creator>
  <cp:lastModifiedBy>Luke Schoenwetter</cp:lastModifiedBy>
  <cp:revision>4</cp:revision>
  <cp:lastPrinted>2015-04-03T14:54:00Z</cp:lastPrinted>
  <dcterms:created xsi:type="dcterms:W3CDTF">2023-06-07T17:36:00Z</dcterms:created>
  <dcterms:modified xsi:type="dcterms:W3CDTF">2023-06-08T18:30:00Z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0x010100E208EBEFE819F549B62795654595848B</vt:lpwstr>
  </property>
</Properties>
</file>