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r>
        <w:t xml:space="preserve"> A subsequent derived-data reanalysis of 1,504 DES supernovae reproduces a duration exponent b=1.0029 ± 0.0048 (formal statistical error), while a 43-channel FIRAS residual check finds no significant y-type distortion. These establish compatibility of specific observable predictions, not evidence selecting the proposed field over other mechanisms. A screened ray model resolves endpoint normalization at the geometric-optics level; its microscopic completion remains open.</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original nearby-galaxy experiment remains inconclusive between the temporal law and its reference. The observational extension supports retaining whole-signal stretching as a required behavior and coherent thermal transport as a conditional spectral mechanism. Neither the DES widths nor the FIRAS monopole identifies the field, determines its energy reservoir or establishes non-expansion. A screened geometric-optics construction provides an explicit source-to-detector consistency result, but a common matter, radiation and gravitational action remains necessary. No Big Bang is assumed here; an earlier equilibrium in fixed space is a possible initial condition, not an inferred thermal origin. Directional CMB structure and galaxy rotation remain unpredicted.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p>
      <w:r>
        <w:br w:type="page"/>
      </w:r>
    </w:p>
    <w:p>
      <w:pPr>
        <w:pStyle w:val="Heading1"/>
      </w:pPr>
      <w:r>
        <w:t>Appendix D. Fixed atomic standards and an unscreened propagation field</w:t>
      </w:r>
    </w:p>
    <w:p>
      <w:pPr/>
      <w:r>
        <w:t>Status: theoretical extension with synthetic checks, 8 September 2026. This branch retains fixed atomic transition frequencies, masses and ruler lengths as explicit assumptions. It introduces no density screening. It does not yet derive atomic invariance from a microscopic interaction, and no new observational fit is claimed. Earlier screened and varying-atom branches remain separate candidates.</w:t>
      </w:r>
    </w:p>
    <w:p>
      <w:pPr>
        <w:pStyle w:val="Heading2"/>
      </w:pPr>
      <w:r>
        <w:t>D.1 Postulates and derived observables</w:t>
      </w:r>
    </w:p>
    <w:p>
      <w:pPr/>
      <w:r>
        <w:t>In a static matter background, let atomic clocks measure t and let a positive field n(x,t), normalized to one today, control traveling photons. Postulate the photon Hamiltonian Hγ=c₀|p|/n. Homogeneity conserves momentum, giving frequency ω=c₀|k|/n and propagation speed cγ=c₀/n. Temporal frequency conversion in engineered media is a physical analogue [18,19], not evidence that intergalactic vacuum follows this law. In an inhomogeneous field, d ln ω/dt=−∂t ln n along a ray; static spatial variation alone does not produce cumulative frequency change between fixed clocks in this model.</w:t>
      </w:r>
    </w:p>
    <w:p>
      <w:pPr/>
      <w:r>
        <w:t>Give n a positive kinetic and gradient energy with coefficient K&gt;0, disturbance speed vₙ and potential V. The field Lagrangian density is:</w:t>
      </w:r>
    </w:p>
    <w:p>
      <w:pPr>
        <w:pStyle w:val="Equation"/>
      </w:pPr>
      <w:r>
        <w:t>ℒₙ = (K/2)[(∂t n)² − vₙ²|∇n|²] − V(n).</w:t>
      </w:r>
    </w:p>
    <w:p>
      <w:pPr/>
      <w:r>
        <w:t>For homogeneous n, constant V and negligible radiation backreaction, the equation is n̈=0. Its solution is n(t)=1+γt, where γ is an initial velocity rather than a predicted constant. For reception today and a source at fixed geometric separation R:</w:t>
      </w:r>
    </w:p>
    <w:p>
      <w:pPr>
        <w:pStyle w:val="Equation"/>
      </w:pPr>
      <w:r>
        <w:t>R = ∫[tₑ,0] c₀ dt/(1+γt) = (c₀/γ) ln[1/n(tₑ)].</w:t>
      </w:r>
    </w:p>
    <w:p>
      <w:pPr>
        <w:pStyle w:val="Equation"/>
      </w:pPr>
      <w:r>
        <w:t>1+z = nᵣ/nₑ = exp(γR/c₀);     dtᵣ/dtₑ = 1+z.</w:t>
      </w:r>
    </w:p>
    <w:p>
      <w:pPr/>
      <w:r>
        <w:t>The second equality follows by differentiating the same ray integral at fixed R. Thus unchanged atomic clocks can register both spectral redshift and longer arrival intervals. With γ/c₀=0.000077315 per million light-years, this recovers the supplied exponential law; today γ=7.7315×10⁻¹¹ yr⁻¹. The coefficient and direction of field motion remain inputs. Numerical integration reproduces the free-field exponential to relative error below 7×10⁻¹⁶. Two independently propagated pulses at γR/c₀=0.1 reproduce their predicted stretch 1.1051709181 to relative error 1.4×10⁻¹¹. These are mathematical checks, not detections.</w:t>
      </w:r>
    </w:p>
    <w:p>
      <w:r>
        <w:br w:type="page"/>
      </w:r>
    </w:p>
    <w:p>
      <w:pPr>
        <w:pStyle w:val="Heading2"/>
      </w:pPr>
      <w:r>
        <w:t>D.2 Field choice, energy exchange and extrapolation</w:t>
      </w:r>
    </w:p>
    <w:p>
      <w:pPr/>
      <w:r>
        <w:t>The dynamical choice differs from a canonical free field χ=ln n. Canonical χ gives n=exp(γt) and 1+z=1+γR/c₀; canonical n gives the exponential distance law above. Written in χ, the latter has positive kinetic coefficient K exp(2χ), so an unstable potential is not universally required to produce affine n. A field redefinition must transform the kinetic term. Neither choice has yet been uniquely selected by first principles or observations.</w:t>
      </w:r>
    </w:p>
    <w:p>
      <w:pPr/>
      <w:r>
        <w:t>The free affine history reaches n=0 at t=−1/γ, about 12.9 billion coordinate years before the reference epoch. The photon Hamiltonian is singular there. This marks the boundary of that approximation, not a derived Big Bang or universe age. Energy exchange already changes the extrapolation. In a homogeneous fixed volume, adiabatically conserved radiation occupations give energy density uγ=A/n. With no additional matter exchange:</w:t>
      </w:r>
    </w:p>
    <w:p>
      <w:pPr>
        <w:pStyle w:val="Equation"/>
      </w:pPr>
      <w:r>
        <w:t>K n̈ + V′(n) = uγ/n;     ℰ = (K/2)ṅ² + V(n) + A/n = constant.</w:t>
      </w:r>
    </w:p>
    <w:p>
      <w:pPr/>
      <w:r>
        <w:t>Radiation losing energy supplies the field with an equal gain. For V=0 this accelerates n, so the exact exponential requires negligible backreaction. Let η=uγ,0/(Kγ²). At dimensionless distance γR/c₀=7, the free stretch is 1096.633. Conservative simulations give 1095.440 for η=10⁻⁶, 986.314 for η=10⁻⁴, and 459.162 for η=10⁻³. Total energy is conserved to relative error below 1.6×10⁻¹⁵ across the tested runs. Their energy scales are synthetic and not calibrated to gravity or measured radiation densities.</w:t>
      </w:r>
    </w:p>
    <w:p>
      <w:pPr/>
      <w:r>
        <w:t>Positive kinetic energy gives the analytic maximum stretch (1+z)max=1+1/(2η) in this reduced bath model. A past turning point of n replaces the free-history singularity and can eventually reverse the sign of the observed shift. Obtaining a stretch of 1100.7 requires η≤0.0004547, or present field kinetic energy at least 1099.7 times the modeled bath energy. This necessary condition does not ensure an accurate exponential. The gravitational consequences of that reservoir remain unspecified.</w:t>
      </w:r>
    </w:p>
    <w:p>
      <w:pPr>
        <w:pStyle w:val="Heading2"/>
      </w:pPr>
      <w:r>
        <w:t>D.3 Thermal radiation</w:t>
      </w:r>
    </w:p>
    <w:p>
      <w:pPr/>
      <w:r>
        <w:t>An already thermal bath remains Planckian under adiabatic, frequency-independent mode rescaling with conserved occupation, giving Tᵣ=Tₑ/(1+z) in the stipulated atomic standards. Since cγ=c₀/n, the fixed-volume mode density gives uγ∝n³T⁴∝1/n, consistently with the energy budget. Stretching does not create a Planck distribution from arbitrary radiation. The FIRAS comparison in C.4 cannot independently determine initial temperature and stretch: different pairs produce the same final spectrum. No new CMB temperature, thermalization mechanism, angular structure or preferred-axis prediction follows here.</w:t>
      </w:r>
    </w:p>
    <w:p>
      <w:r>
        <w:br w:type="page"/>
      </w:r>
    </w:p>
    <w:p>
      <w:pPr>
        <w:pStyle w:val="Heading2"/>
      </w:pPr>
      <w:r>
        <w:t>D.4 What must be tested before stronger claims</w:t>
      </w:r>
    </w:p>
    <w:p>
      <w:pPr/>
      <w:r>
        <w:t>Atomic invariance is the central unfinished derivation. Traveling photons and electromagnetic binding belong to one underlying theory. Separately stipulating fixed atomic levels and a modified free-photon Hamiltonian does not prove consistency of emission, absorption, magnetic interactions and quantum corrections. A microscopic completion must demonstrate exact protection through a symmetry, or calculate residual atomic effects for comparison with measurements. Related scalar couplings illustrate why this issue is nontrivial [20]. The effective model also selects a preferred frame and lacks a completed gravitational sector.</w:t>
      </w:r>
    </w:p>
    <w:p>
      <w:pPr/>
      <w:r>
        <w:t>The first observational priority is a comparison of an optical cavity with an atomic clock. With fixed mirror spacing and the same nondispersive propagation law, cavity frequency is proportional to cγ while the atomic reference is constant. The model predicts d ln(νcavity/νatom)/dt=−γ today, approximately −7.73×10⁻¹¹ yr⁻¹. This dimensionless prediction remains meaningful even when the metre is defined through c. A test requires actual frequency-ratio time series and a model of cavity aging, temperature, mirror response and instrumental drift. Published short-term clock precision alone is not an exclusion or a detection.</w:t>
      </w:r>
    </w:p>
    <w:p>
      <w:pPr/>
      <w:r>
        <w:t>A second priority is a full spacecraft range and Doppler fit with this specific affine history, moving endpoints, frequency ramps and clock standards. Earlier Cassini sensitivity comparisons and forecasts at reconstructed ranges do not constitute such a fit. Orbit and clock nuisance parameters can absorb parts of the proposed signal. Injection and recovery, followed by held-out arcs, are required before claiming compatibility or conflict.</w:t>
      </w:r>
    </w:p>
    <w:p>
      <w:pPr/>
      <w:r>
        <w:t>A third priority is joint distance, redshift and duration testing beyond the nearby sample, with calibration assumptions stated explicitly. For exact affine n and fixed source separation, redshift is constant with reception time, dz/dtᵣ=0. Canonical rolling χ instead gives dz/dtᵣ=γz at today’s normalization. Backreaction, source motion and gravity modify these predictions. Previously inspected reserved objects cannot be described as newly blind tests.</w:t>
      </w:r>
    </w:p>
    <w:p>
      <w:pPr/>
      <w:r>
        <w:t>The present result warrants inclusion as a candidate derivation with explicit limitations. It does not warrant presenting the coefficient, unchanged atomic behavior, global history, CMB origin or galaxy-rotation unification as established. Real-data tests are needed before stronger claims; discrepancies will be retained as branch-specific limitations rather than omitted.</w:t>
      </w:r>
    </w:p>
    <w:p>
      <w:pPr>
        <w:pStyle w:val="Heading2"/>
      </w:pPr>
      <w:r>
        <w:t>Additional references and reproducibility for Appendix D</w:t>
      </w:r>
    </w:p>
    <w:p>
      <w:pPr>
        <w:pStyle w:val="Reference"/>
      </w:pPr>
      <w:r>
        <w:t>[18] Ortega-Gomez, A., et al. A tutorial on the conservation of momentum in photonic time-varying media (2023). https://arxiv.org/abs/2301.03333</w:t>
      </w:r>
    </w:p>
    <w:p>
      <w:pPr>
        <w:pStyle w:val="Reference"/>
      </w:pPr>
      <w:r>
        <w:t>[19] Moussa, H., et al. Observation of Temporal Reflections and Broadband Frequency Translations at Photonic Time-Interfaces (2023). https://arxiv.org/abs/2208.07236</w:t>
      </w:r>
    </w:p>
    <w:p>
      <w:pPr>
        <w:pStyle w:val="Reference"/>
      </w:pPr>
      <w:r>
        <w:t>[20] van de Bruck, C., Mifsud, J., and Nunes, N. J. The variation of the fine-structure constant from disformal couplings (2015). https://arxiv.org/abs/1510.00200</w:t>
      </w:r>
    </w:p>
    <w:p>
      <w:pPr>
        <w:pStyle w:val="Reference"/>
      </w:pPr>
      <w:r>
        <w:t>Companion calculation: fixed_atom_time_field.zip, containing fixed_atom_time_field.md, calculate.py and results.json. The script uses Python, NumPy and SciPy. It checks ray stretching and conservative field–radiation dynamics; it contains no new observational likelihood.</w:t>
      </w:r>
    </w:p>
    <w:p>
      <w:r>
        <w:br w:type="page"/>
      </w:r>
    </w:p>
    <w:p>
      <w:pPr>
        <w:pStyle w:val="Heading1"/>
      </w:pPr>
      <w:r>
        <w:t>Appendix E. Shared interactions and a fixed higher-redshift brightness test</w:t>
      </w:r>
    </w:p>
    <w:p>
      <w:pPr/>
      <w:r>
        <w:t>This extension tests the fixed-atom candidate at two levels: a common matter–light–gravity action, and a higher-redshift brightness prediction with the original coefficient unchanged. The action is a proposed low-energy completion, not an established theory. Its atomic and gravitational difficulties are retained explicitly. The brightness calculation uses real standardized observations and their released covariance, with no new fit of the redshift law.</w:t>
      </w:r>
    </w:p>
    <w:p>
      <w:pPr>
        <w:pStyle w:val="Heading2"/>
      </w:pPr>
      <w:r>
        <w:t>E.1 A concrete common action</w:t>
      </w:r>
    </w:p>
    <w:p>
      <w:pPr/>
      <w:r>
        <w:t>In units c₀=ℏ=1 and signature (−,+,+,+), use a matter metric g, a positive propagation field n, and a dynamical vector u of unit timelike length. Define the optical metric ḡ=g+(1−n⁻²)u⊗u, using the covector obtained from u by lowering its index with g. A candidate action is the sum:</w:t>
      </w:r>
    </w:p>
    <w:p>
      <w:pPr>
        <w:pStyle w:val="Equation"/>
      </w:pPr>
      <w:r>
        <w:t>S = S_EH[g] + Sₙ[g,n] + Sᵤ[g,u] + S_m[g,A,Ψ] + S_EM[ḡ,A,n].</w:t>
      </w:r>
    </w:p>
    <w:p>
      <w:pPr/>
      <w:r>
        <w:t>The Einstein term is M_Pl²ℛ/2. The scalar density is −K(∂n)²/2−V(n). A concrete preferred-frame vector density is −βU²/4+λ(u²+1), with U=du and K,β&gt;0; these squares contract indices with g. Matter has fixed masses and charges and couples to the same potential A as the electromagnetic action. The latter is −¼∫√(−ḡ) Z(n)F² d⁴x, with F=dA and F² contracted using ḡ. Gauge symmetry enforces charge conservation, and total stress-energy is covariantly conserved on the complete equations of motion. Related disformal frameworks are discussed in [20].</w:t>
      </w:r>
    </w:p>
    <w:p>
      <w:pPr/>
      <w:r>
        <w:t>The vector replaces an externally imposed preferred direction with a dynamical field; its longitudinal stability, constraints and strong-coupling behavior are not established. Positive scalar and Maxwell coefficients alone do not certify full stability. Nuclear structure and quantum corrections also remain outside this low-energy specification.</w:t>
      </w:r>
    </w:p>
    <w:p>
      <w:pPr/>
      <w:r>
        <w:t>In the local matter rest frame, ḡ=diag(−n⁻²,1,1,1). The electromagnetic density and constitutive response become:</w:t>
      </w:r>
    </w:p>
    <w:p>
      <w:pPr>
        <w:pStyle w:val="Equation"/>
      </w:pPr>
      <w:r>
        <w:t>ℒ_EM = (Zn/2)E² − [Z/(2n)]B²;     εᵣ=Zn,     μᵣ=n/Z,     cγ=c₀/n.</w:t>
      </w:r>
    </w:p>
    <w:p>
      <w:pPr/>
      <w:r>
        <w:t>With fixed masses and charges, leading hydrogen energies scale as (Zn)⁻² and atomic lengths as Zn. Preserving both selects Z=1/n, yielding εᵣ=1 and μᵣ=n². Electrostatic binding is then unchanged, but magnetic interactions are not. Since εᵣμᵣ=n², the single function Z cannot keep both constitutive responses constant while n evolves. This restricted result exposes the unfinished atomic-protection assumption in Appendix D; it is not a universal impossibility theorem.</w:t>
      </w:r>
    </w:p>
    <w:p>
      <w:r>
        <w:br w:type="page"/>
      </w:r>
    </w:p>
    <w:p>
      <w:pPr>
        <w:pStyle w:val="Heading2"/>
      </w:pPr>
      <w:r>
        <w:t>E.2 Atomic, gravitational and propagation consistency</w:t>
      </w:r>
    </w:p>
    <w:p>
      <w:pPr/>
      <w:r>
        <w:t>For fixed magnetic moments and leading wavefunctions, hyperfine frequencies scale approximately as n². A leading optical/hyperfine ratio therefore drifts at −2ṅ/n, or −1.5463×10⁻¹⁰ yr⁻¹ for the fixed γ today. Lange et al. directly report a Yb⁺ E3/Cs ratio drift of −3.1(3.4)×10⁻¹⁷ yr⁻¹ [10]. This comparison uses the measured ratio rather than importing the paper’s standard fine-structure-constant interpretation. The scale mismatch is severe, but an exact exclusion requires species-specific relativistic, magnetic and nuclear calculations. The simplest branch already fails its intended exact atomic invariance; added couplings would need to protect multiple observables.</w:t>
      </w:r>
    </w:p>
    <w:p>
      <w:pPr/>
      <w:r>
        <w:t>The shared action does recover the earlier propagation-energy source. With Z=1/n its scalar source is B²/n³; for a traveling wave in the homogeneous rest frame this equals uγ/n. Thus the reduced equation K n̈+V′=uγ/n follows at that order. Radiation energy transferred to n remains part of the gravitational source.</w:t>
      </w:r>
    </w:p>
    <w:p>
      <w:pPr/>
      <w:r>
        <w:t>Ordinary Einstein gravity adds an independent obstruction. A flat homogeneous static solution needs both ρ_total=0 and ρ_total+p_total=0. At today’s n=1, the two metrics coincide. In the homogeneous vector rest branch U=0 and λ=0 at that epoch, ordinary baryons, radiation and the rolling canonical scalar give:</w:t>
      </w:r>
    </w:p>
    <w:p>
      <w:pPr>
        <w:pStyle w:val="Equation"/>
      </w:pPr>
      <w:r>
        <w:t>ρ_total + p_total = ρ_b + (4/3)ρ_γ + Kγ² &gt; 0.</w:t>
      </w:r>
    </w:p>
    <w:p>
      <w:pPr/>
      <w:r>
        <w:t>A constant potential or cosmological constant does not cancel this sum. The assumed flat static background is therefore not a solution of this simplest complete action. Positive spatial curvature changes the balance and leaves a spherical static candidate open, but its evolution and perturbation stability must be solved [24]. Curvature would also change the geometric brightness law and must be labeled as a new extension.</w:t>
      </w:r>
    </w:p>
    <w:p>
      <w:pPr/>
      <w:r>
        <w:t>Tensor waves in the minimal Einstein sector travel on g at c₀; photons travel on ḡ at c₀/n. Present cone equality does not imply equal integrated travel times. For affine n, simultaneous emission at distance R and photon reception today give:</w:t>
      </w:r>
    </w:p>
    <w:p>
      <w:pPr>
        <w:pStyle w:val="Equation"/>
      </w:pPr>
      <w:r>
        <w:t>Δt_GW−γ = R/c₀ − [1−exp(−γR/c₀)]/γ.</w:t>
      </w:r>
    </w:p>
    <w:p>
      <w:pPr/>
      <w:r>
        <w:t>At an illustrative 40 Mpc the gravitational wave arrives about 655,762 years later. The associated GW170817/gamma-ray event has a published gamma-ray-minus-GW delay of 1.74±0.05 seconds [14]. Source emission delays and modified-theory distance inference remain relevant, but this enormous benchmark discrepancy identifies a major failure of the minimal cone assignment. A gravitational sector sharing the optical cone is retained as a possible extension; it would change the field equations as well.</w:t>
      </w:r>
    </w:p>
    <w:p>
      <w:r>
        <w:br w:type="page"/>
      </w:r>
    </w:p>
    <w:p>
      <w:pPr>
        <w:pStyle w:val="Heading2"/>
      </w:pPr>
      <w:r>
        <w:t>E.3 Frozen higher-redshift brightness prediction</w:t>
      </w:r>
    </w:p>
    <w:p>
      <w:pPr/>
      <w:r>
        <w:t>The original κ=0.000077315 per million light-years, S=exp(κR), and D_L=RS are held fixed. For Euclidean static geometry, fixed source luminosity and photon conservation, the energy and arrival-rate factors each reduce flux by S, giving D_L=(1+z)ln(1+z)/κ. This distance function also appears in coasting expansion models [23], so agreement would not uniquely identify this mechanism.</w:t>
      </w:r>
    </w:p>
    <w:p>
      <w:pPr/>
      <w:r>
        <w:t>The official Pantheon+SH0ES release [21,22] is pinned to commit c447f0fea703fcd0fff57de5000947b5ca81286b. Before inspecting brightness outcomes, the analysis specified zHD≥0.1 for noncalibrators and fixed all formula parameters. The primary observer convention uses (1+zHEL) outside the logarithm and zHD inside it. Its transfer to this theory is conditional and is checked separately. The protocol is internally frozen, not an external preregistration.</w:t>
      </w:r>
    </w:p>
    <w:p>
      <w:pPr/>
      <w:r>
        <w:t>Only 77 Cepheid-host light-curve rows, representing 43 distinct supernovae, determine absolute magnitude. Generalized least squares on m_b_corr−CEPH_DIST gives M=−19.248885±0.030106, with χ²=57.135 for 76 degrees of freedom. No higher-redshift brightness is used for that calibration. The evaluation contains 960 distinct supernovae at zHD=0.10165–2.26137. Calibrator repeated measurements retain their released covariance.</w:t>
      </w:r>
    </w:p>
    <w:p>
      <w:pPr/>
      <w:r>
        <w:t>Let w=Ccc⁻¹1/(1ᵀCcc⁻¹1), σM²=wᵀCccw and q=Chcw. The higher-redshift residual covariance is V=Chh+σM²11ᵀ−q1ᵀ−1qᵀ, preserving shared calibrator systematics. The full STAT+SYS matrix is used. Its small released rounding asymmetry, at most 3×10⁻⁸ mag², is removed by symmetrization. Positive residuals below mean observed standardized supernovae are fainter than predicted.</w:t>
      </w:r>
    </w:p>
    <w:p>
      <w:pPr/>
      <w:r>
        <w:t>For z=0.10–0.30, 466 supernovae give +0.1383±0.0314 mag, equivalent to a 6.6% distance excess. For z=0.30–0.60, 365 give +0.2004±0.0323 mag, or 9.7%. For z=0.60–1.00, 104 give +0.2182±0.0380 mag, or 10.6%. For z=1.00–2.26, 25 give +0.3631±0.0708 mag, or 18.2%. These generalized-least-squares bin means are correlated; their full covariance is saved.</w:t>
      </w:r>
    </w:p>
    <w:p>
      <w:pPr/>
      <w:r>
        <w:t>Accounting for those correlations, the second minus first bin is +0.06208±0.01271 mag and the highest minus first is +0.22487±0.06460 mag. A constant residual across the four bins gives χ²=36.743 for three degrees of freedom. This identifies a redshift-dependent issue rather than counting shared calibration errors as independent evidence.</w:t>
      </w:r>
    </w:p>
    <w:p>
      <w:r>
        <w:br w:type="page"/>
      </w:r>
    </w:p>
    <w:p>
      <w:pPr>
        <w:pStyle w:val="Heading2"/>
      </w:pPr>
      <w:r>
        <w:t>E.4 Interpretation, limits and retained extensions</w:t>
      </w:r>
    </w:p>
    <w:p>
      <w:pPr/>
      <w:r>
        <w:t>The fixed temporal law gives χ²=898.475 for 960 residuals and unweighted RMSE=0.2421 mag. A fixed flat-ΛCDM reference with Ωm=0.3 and the same scale H₀=c₀κ=75.5980 km s⁻¹ Mpc⁻¹ gives χ²=838.483 and RMSE=0.1555 mag. Neither reference parameter is fitted here. A labeled shape-only diagnostic subtracting one constant offset gives χ²=871.552 and 836.512, respectively, for 959 degrees of freedom. Those fitted diagnostic offsets are not applied to the primary predictions or to κ.</w:t>
      </w:r>
    </w:p>
    <w:p>
      <w:pPr/>
      <w:r>
        <w:t>The temporal model’s total χ² is below the number of residuals, so it is not a catastrophic global goodness-of-fit rejection under this covariance. The meaningful issues are the coherent bin trend and the poorer relative fit. Using zHD for both redshift factors changes any predicted magnitude by at most 0.00253 mag and gives χ²=897.936. A conditional-Gaussian calibrator sensitivity treatment gives 907.720. Neither removes the discrepancy. No opacity, luminosity evolution, age correction or radiation-backreaction parameter is fitted to improve these results.</w:t>
      </w:r>
    </w:p>
    <w:p>
      <w:pPr/>
      <w:r>
        <w:t>The release contains standardized magnitudes, not raw photons. SALT2, color/stretch and host corrections, selection simulations, intrinsic scatter and parts of the velocity uncertainty carry published assumptions. The Cepheid ladder adds calibration assumptions. The requested fixed coefficient has no fitted high-redshift adjustment or propagated uncertainty band in this primary test. Some objects may overlap earlier duration studies, so this is a new observable evaluation rather than an entirely independent sky sample. A forward light-curve and selection analysis is needed to assess processing dependence.</w:t>
      </w:r>
    </w:p>
    <w:p>
      <w:pPr/>
      <w:r>
        <w:t>The two tracks therefore remain distinct. The common action has not solved exact atomic protection, nonexpanding gravitational dynamics or tensor-wave propagation. The fixed-source phenomenological law has a substantive higher-redshift brightness trend. Neither result is repaired by silently changing a coupling, curvature, source luminosity or distance scale. All branches and discrepancies are retained. The next theoretical milestone is a shared coupling that protects optical/hyperfine ratios and aligns tensor propagation while admitting a stable nonexpanding solution. The next observational milestone is an independent or forward-modeled brightness test with calibration fixed in advance.</w:t>
      </w:r>
    </w:p>
    <w:p>
      <w:pPr>
        <w:pStyle w:val="Heading2"/>
      </w:pPr>
      <w:r>
        <w:t>Additional references and reproducibility for Appendix E</w:t>
      </w:r>
    </w:p>
    <w:p>
      <w:pPr>
        <w:pStyle w:val="Reference"/>
      </w:pPr>
      <w:r>
        <w:t>[21] Brout, D., et al. The Pantheon+ Analysis: Cosmological Constraints (2022). https://arxiv.org/abs/2202.04077</w:t>
      </w:r>
    </w:p>
    <w:p>
      <w:pPr>
        <w:pStyle w:val="Reference"/>
      </w:pPr>
      <w:r>
        <w:t>[22] PantheonPlusSH0ES. DataRelease: distances, covariance and README, pinned commit stated in E.3. https://github.com/PantheonPlusSH0ES/DataRelease/tree/main/Pantheon%2B_Data/4_DISTANCES_AND_COVAR</w:t>
      </w:r>
    </w:p>
    <w:p>
      <w:pPr>
        <w:pStyle w:val="Reference"/>
      </w:pPr>
      <w:r>
        <w:t>[23] Sultana, J. The Rh = ct universe and quintessence. MNRAS 457, 212 (2016), luminosity-distance relation. https://academic.oup.com/mnras/article/457/1/212/989371</w:t>
      </w:r>
    </w:p>
    <w:p>
      <w:pPr>
        <w:pStyle w:val="Reference"/>
      </w:pPr>
      <w:r>
        <w:t>[24] Barrow, J. D., et al. On the Stability of the Einstein Static Universe (2003). https://arxiv.org/abs/gr-qc/0302094</w:t>
      </w:r>
    </w:p>
    <w:p>
      <w:pPr>
        <w:pStyle w:val="Reference"/>
      </w:pPr>
      <w:r>
        <w:t>Companion: shared_interaction_test.zip includes the full derivation report, frozen protocol, official data and covariance with hashes, brightness.py, interaction.py, results and all 960 predictions. No raw supernova light-curve or spacecraft residual fit is claimed.</w:t>
      </w:r>
    </w:p>
    <w:p>
      <w:r>
        <w:br w:type="page"/>
      </w:r>
    </w:p>
    <w:p>
      <w:pPr>
        <w:pStyle w:val="Heading1"/>
      </w:pPr>
      <w:r>
        <w:t>Appendix F. Shared wave propagation, curvature and rotating geometry</w:t>
      </w:r>
    </w:p>
    <w:p>
      <w:pPr/>
      <w:r>
        <w:t>The next candidate applies the same temporal propagation rule to light and gravitational waves. Both signs of spatial curvature are retained, with rotation treated as an additional geometric property. Atomic invariance remains a requirement to derive. The earlier unequal-wave-speed result in E.2 is preserved as a limitation of that specific action, not a universal objection to time-based redshift.</w:t>
      </w:r>
    </w:p>
    <w:p>
      <w:pPr>
        <w:pStyle w:val="Heading2"/>
      </w:pPr>
      <w:r>
        <w:t>F.1 Common propagation for both wave species</w:t>
      </w:r>
    </w:p>
    <w:p>
      <w:pPr>
        <w:pStyle w:val="Equation"/>
      </w:pPr>
      <w:r>
        <w:t>c_light(t,x) = c_GW(t,x) = c₀/n(t,x).</w:t>
      </w:r>
    </w:p>
    <w:p>
      <w:pPr/>
      <w:r>
        <w:t>This rule requires the same characteristic metric and null paths, including directional and gravitational delays. Equal present speeds alone are insufficient. In geometric optics, a quadratic wave action with kinetic coefficient A_X&gt;0 and gradient coefficient A_X c₀²/n² gives this speed for either transverse electromagnetic modes or tensor modes. Equality of those principal propagation operators removes the enormous differential travel delay by construction for simultaneous emission along the same path. Emission-time differences can still produce a small arrival offset such as that associated with GW170817 [14].</w:t>
      </w:r>
    </w:p>
    <w:p>
      <w:pPr/>
      <w:r>
        <w:t>This is an explicit candidate requirement, not a completed nonlinear gravitational action. Changing the tensor kinetic operator also changes gravitational dynamics, constraints and energy exchange. Amplitudes and gravitational-wave luminosity distances need not match electromagnetic ones merely because their paths coincide. The atomic and static-background problems in E.1–E.2 must therefore be reconsidered in the new action rather than declared solved.</w:t>
      </w:r>
    </w:p>
    <w:p>
      <w:pPr>
        <w:pStyle w:val="Heading2"/>
      </w:pPr>
      <w:r>
        <w:t>F.2 First comparison of both curvature signs</w:t>
      </w:r>
    </w:p>
    <w:p>
      <w:pPr/>
      <w:r>
        <w:t>Retain R=ln(1+zHD)/κ and the fixed Cepheid calibration from Appendix E. For constant-curvature isotropic space, with curvature radius R_c, replace the Euclidean area distance by:</w:t>
      </w:r>
    </w:p>
    <w:p>
      <w:pPr>
        <w:pStyle w:val="Equation"/>
      </w:pPr>
      <w:r>
        <w:t>D_L = (1+zHEL) R_c sin(R/R_c)    [positive curvature],</w:t>
      </w:r>
    </w:p>
    <w:p>
      <w:pPr>
        <w:pStyle w:val="Equation"/>
      </w:pPr>
      <w:r>
        <w:t>D_L = (1+zHEL) R_c sinh(R/R_c)   [negative curvature].</w:t>
      </w:r>
    </w:p>
    <w:p>
      <w:pPr/>
      <w:r>
        <w:t>Both approach the original flat law as R_c tends to infinity. Positive curvature is restricted to paths before the first conjugate point; this calculation includes no multiple wraps or images. Each branch scans one radius against the already-inspected 960 supernovae, preserving κ, absolute magnitude and the full covariance. This is an exploratory extension, not a held-out test.</w:t>
      </w:r>
    </w:p>
    <w:p>
      <w:pPr/>
      <w:r>
        <w:t>Positive curvature prefers the flat boundary, χ²=898.475. Negative curvature prefers R_c≈4547 Mpc and gives χ²=873.041, an improvement of 25.433 with one additional fitted parameter. Its four mean magnitude residuals become approximately +0.129, +0.172, +0.139 and +0.163 using the earlier bin weights. It improves the trend but leaves an offset and remains worse than the fixed reference’s χ²=838.483. This geometric fit does not establish a static gravitational solution or determine cosmic rotation.</w:t>
      </w:r>
    </w:p>
    <w:p>
      <w:r>
        <w:br w:type="page"/>
      </w:r>
    </w:p>
    <w:p>
      <w:pPr>
        <w:pStyle w:val="Heading2"/>
      </w:pPr>
      <w:r>
        <w:t>F.3 A Gödel-style branch</w:t>
      </w:r>
    </w:p>
    <w:p>
      <w:pPr/>
      <w:r>
        <w:t>Gödel’s original solution is a homogeneous, rotating, nonexpanding spacetime [25]. Technically it is stationary rather than static: rotation prevents a global slicing orthogonal to the rotating matter congruence. It also contains closed timelike curves. A Gödel-type extension can retain the nonexpansion and rotation as hypotheses without automatically importing every property of the original solution; any causal restriction or modified dynamics must be specified.</w:t>
      </w:r>
    </w:p>
    <w:p>
      <w:pPr/>
      <w:r>
        <w:t>Rotation is not the same variable as positive or negative spatial curvature. A rotating candidate generally needs direction-dependent null-ray and beam-area calculations rather than simply substituting a sine or hyperbolic sine. The preceding radius fits therefore compare nonrotating geometries and do not select a Gödel solution. Pure stationary Gödel geometry also does not itself supply the assumed exponential temporal redshift; an evolving propagation field is still an additional hypothesis.</w:t>
      </w:r>
    </w:p>
    <w:p>
      <w:pPr/>
      <w:r>
        <w:t>There is a concrete compatibility condition for the timing field. A nonzero gradient aligned everywhere with the matter four-velocity, ∇n=f u, would make that congruence hypersurface-orthogonal and hence irrotational. It cannot simultaneously describe nonzero Gödel-type vorticity. Our earlier action used an independent vector, so alignment is not mandatory, but the new model must specify how the evolving n field relates to rotating observers. The original Gödel spacetime has no global time function suitable for an unrestricted n(t) history; a causal Gödel-type branch, a domain of applicability or different boundary conditions are needed.</w:t>
      </w:r>
    </w:p>
    <w:p>
      <w:pPr>
        <w:pStyle w:val="Heading2"/>
      </w:pPr>
      <w:r>
        <w:t>F.4 What the CMB can discriminate</w:t>
      </w:r>
    </w:p>
    <w:p>
      <w:pPr/>
      <w:r>
        <w:t>The CMB is useful without assuming a Big Bang, but its mean temperature alone does not choose curvature or rotation. A model must specify the origin and spatial distribution of its radiation, how a thermal spectrum is established, and how photons and polarization propagate through the proposed geometry. For an initially uniform thermal bath with adiabatic frequency rescaling, directional stretching gives δT/T≈−δ ln S. Unknown source-temperature variations add a separate term. This relation connects a predicted directional timing pattern to an observable; it is not yet a prediction of the pattern itself.</w:t>
      </w:r>
    </w:p>
    <w:p>
      <w:pPr/>
      <w:r>
        <w:t>Temperature maps test directional structure and angular correlations. Polarization tests additional patterns from scattering and transport, including any model-predicted handedness or mixing of polarization modes. The complete spectrum and lensing information provide further checks. The acoustic-peak angular positions cannot be turned into a model-independent curvature estimate by borrowing the standard early-universe sound horizon: this universe must derive its own physical correlation scale and radiation history.</w:t>
      </w:r>
    </w:p>
    <w:p>
      <w:pPr/>
      <w:r>
        <w:t>Published Planck temperature-plus-polarization analyses strongly constrain specified Bianchi models [26], but their expansion-normalized parameters and radiation histories cannot simply be applied to a nonexpanding Gödel-type model. Rotation also does not guarantee a unique visible spiral: shear-free rotating examples with isotropic background radiation exist in other theories [27]. Their existence is a caution about inference, not validation of this candidate.</w:t>
      </w:r>
    </w:p>
    <w:p>
      <w:r>
        <w:br w:type="page"/>
      </w:r>
    </w:p>
    <w:p>
      <w:pPr>
        <w:pStyle w:val="Heading2"/>
      </w:pPr>
      <w:r>
        <w:t>F.5 A CMB test that can distinguish the candidates</w:t>
      </w:r>
    </w:p>
    <w:p>
      <w:pPr/>
      <w:r>
        <w:t>Define a small family of geometries with fixed spatial size: positive curvature, negative curvature, and explicitly rotating variants. For each, specify a consistent shared photon/tensor characteristic metric, a radiation-source model, and a timing-field history. Fit only parameters that have been defined in advance, such as curvature radius, rotation magnitude and axis. The nonrotating curvature fit in F.2 is a preliminary brightness diagnostic; the rotating model and CMB predictions have not yet been computed.</w:t>
      </w:r>
    </w:p>
    <w:p>
      <w:pPr/>
      <w:r>
        <w:t>Ray tracing must predict beam areas, frequency shifts and directional arrival-time effects. Polarization transport and the chosen scattering history must then produce temperature and polarization maps or their statistical distributions. If arbitrary initial sky patterns are freely adjusted to reproduce every observed feature, the geometry has not been tested. Initial correlations and nuisance parameters must therefore be constrained and counted in model comparisons.</w:t>
      </w:r>
    </w:p>
    <w:p>
      <w:pPr/>
      <w:r>
        <w:t>The existing binned TT and EE data in Appendix C cannot test quadrupole–octopole alignment: they start near multipole 48 and discard orientation. The next observational inputs are low-multipole temperature and polarization maps, masks, beam models and noise simulations. Frequency and component-separation comparisons test foreground sensitivity, but maps derived from the same observations are not independent confirmations. Parameters selected from temperature should generate a stated prediction for polarization, with shared correlations handled in the likelihood.</w:t>
      </w:r>
    </w:p>
    <w:p>
      <w:pPr/>
      <w:r>
        <w:t>The assumed “axis of evil” in the fictional universe is treated as an alignment to explain, not as proof of rotation. A candidate must predict more than an axis chosen after looking at the map: for example a linked angular pattern, polarization signal or direction-dependent brightness residual. Axis selection, masks and the number of patterns searched must enter simulations of chance alignments. Planck reports several large-angle temperature features but no unambiguous corresponding polarization detections [12].</w:t>
      </w:r>
    </w:p>
    <w:p>
      <w:pPr/>
      <w:r>
        <w:t>The working conclusion is therefore conditional. Shared propagation removes the old differential-wave-delay problem at the level of the new rule. Negative curvature currently improves the fixed-coefficient supernova comparison more than positive curvature. A Gödel-style rotating branch remains a distinct possibility whose timing-field compatibility, radiation predictions and gravitational dynamics require derivation. No CMB likelihood, rotation fit or stable nonexpanding background solution is claimed in this extension.</w:t>
      </w:r>
    </w:p>
    <w:p>
      <w:pPr>
        <w:pStyle w:val="Heading2"/>
      </w:pPr>
      <w:r>
        <w:t>Additional references and reproducibility for Appendix F</w:t>
      </w:r>
    </w:p>
    <w:p>
      <w:pPr>
        <w:pStyle w:val="Reference"/>
      </w:pPr>
      <w:r>
        <w:t>[25] Gödel, K. An Example of a New Type of Cosmological Solutions of Einstein’s Field Equations of Gravitation. Rev. Mod. Phys. 21, 447 (1949). https://doi.org/10.1103/RevModPhys.21.447</w:t>
      </w:r>
    </w:p>
    <w:p>
      <w:pPr>
        <w:pStyle w:val="Reference"/>
      </w:pPr>
      <w:r>
        <w:t>[26] Saadeh, D., et al. How Isotropic is the Universe? Phys. Rev. Lett. 117, 131302 (2016). https://arxiv.org/abs/1605.07178</w:t>
      </w:r>
    </w:p>
    <w:p>
      <w:pPr>
        <w:pStyle w:val="Reference"/>
      </w:pPr>
      <w:r>
        <w:t>[27] Obukhov, Y. N., Chrobok, T., and Scherfner, M. Rotation in string cosmology (2003). https://arxiv.org/abs/gr-qc/0302027</w:t>
      </w:r>
    </w:p>
    <w:p>
      <w:pPr>
        <w:pStyle w:val="Reference"/>
      </w:pPr>
      <w:r>
        <w:t>Companion: shared_curved_update.zip contains curvature_test.py, curvature_results.json, a reproduction note and the Appendix E data dependencies. The scalar scan includes the flat boundary and checks a coarse grid. κ and the Cepheid calibration are unchanged; one curvature radius is fitted per branch.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