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Temporal Transport in a Non-Expanding Universe</w:t>
      </w:r>
    </w:p>
    <w:p>
      <w:pPr>
        <w:pStyle w:val="Subtitle"/>
      </w:pPr>
      <w:r>
        <w:t>An exponential redshift law, a conditional physical mechanism, and a reproducible galaxy-group test</w:t>
      </w:r>
    </w:p>
    <w:p>
      <w:pPr>
        <w:pStyle w:val="Caption"/>
      </w:pPr>
      <w:r>
        <w:t>Research hypothesis • Revised 8 September 2026 • Observational extension</w:t>
      </w:r>
    </w:p>
    <w:p>
      <w:pPr>
        <w:pStyle w:val="Heading1"/>
      </w:pPr>
      <w:r>
        <w:t>Abstract</w:t>
      </w:r>
    </w:p>
    <w:p>
      <w:r>
        <w:t>We investigate a universe with fixed spatial geometry in which a propagation process, rather than increasing source separation, produces a systematic spectral redshift. A local, multiplicative temporal-transfer law gives 1+z=exp(κr), where r is geometric path length. We derive the exponential from continuity and composition and construct a conditional realization using a homogeneous, nondispersive optical response that evolves linearly with time. This realization stretches both wave periods and pulse intervals, but its constitutive physics, matter coupling and gravitational backreaction remain unspecified. A preserved Cosmicflows-4 surface-brightness-fluctuation experiment contains 164 galaxy-group representatives, excluding all groups from an earlier pilot: 104 training, 35 validation and 25 final-test objects. The fitted coefficient is κ=7.7314966×10⁻⁵ per million light-years. With a stated brightness correction, final-test redshift RMSE is 412.441 km/s in cΔz units, compared with 411.934 km/s for a specified expanding reference. The difference is unresolved. We provide every final-test prediction, all 164 records in machine-readable form, the original source catalog and executable analysis. The observations establish limited predictive compatibility, not a unique cause of redshift. Galaxy dynamics are reserved for a separate paper.</w:t>
      </w:r>
      <w:r>
        <w:t xml:space="preserve"> A subsequent derived-data reanalysis of 1,504 DES supernovae reproduces a duration exponent b=1.0029 ± 0.0048 (formal statistical error), while a 43-channel FIRAS residual check finds no significant y-type distortion. These establish compatibility of specific observable predictions, not evidence selecting the proposed field over other mechanisms. A screened ray model resolves endpoint normalization at the geometric-optics level; its microscopic completion remains open.</w:t>
      </w:r>
    </w:p>
    <w:p>
      <w:pPr>
        <w:pStyle w:val="Caption"/>
      </w:pPr>
      <w:r>
        <w:t>Scope. The non-expanding setting is the working hypothesis of this paper. Observational numbers are real catalog values and reproducible calculations; no fictional measurements are introduced as evidence. “Proof” requires discriminating tests beyond the current nearby sample.</w:t>
      </w:r>
    </w:p>
    <w:p>
      <w:pPr>
        <w:pStyle w:val="Heading1"/>
      </w:pPr>
      <w:r>
        <w:t>1. Observable and physical distinction</w:t>
      </w:r>
    </w:p>
    <w:p>
      <w:r>
        <w:t>Define the spectroscopic redshift through the frequency of a calibrated emitted spectral feature and its measured arrival frequency, 1+z=νₑ/νₒ. The proposed temporal-transfer factor S is this ratio. A stronger hypothesis states that the duration of a sufficiently short, otherwise unchanged signal is multiplied by the same S. Spectral redshift, transient-duration stretching and a local clock-rate difference are distinct observables. This distinction is essential: an equation for arriving wave periods is not itself a measurement of clocks in intergalactic space.</w:t>
      </w:r>
    </w:p>
    <w:p>
      <w:r>
        <w:t>The empirical experiment uses surface-brightness-fluctuation (SBF) distance estimates for galaxies, not distances and redshifts of individually resolved stars. SBF estimates distance through fluctuations in unresolved stellar light; its calibration and corrections must be retained explicitly [1,2]. The present calculation treats the published SBF distance as a luminosity-distance input. It does not reconstruct the images or the calibration under the proposed propagation law. The catalog redshift is expressed in the CMB frame; cΔz is used solely as a convenient unit for prediction error.</w:t>
      </w:r>
    </w:p>
    <w:p>
      <w:pPr>
        <w:pStyle w:val="Heading1"/>
      </w:pPr>
      <w:r>
        <w:t>2. Why an exponential law follows</w:t>
      </w:r>
    </w:p>
    <w:p>
      <w:r>
        <w:t>Assume that transfer through adjacent homogeneous path segments composes multiplicatively, that a zero-length segment has no effect, and that the response is continuous. If the same local rule applies everywhere over the sampled range, the transfer factor obeys S(r₁+r₂)=S(r₁)S(r₂), with S(0)=1 and S(r)&gt;0. Taking the logarithm converts this into a continuous additive relation. Its solution is ln S=κr, where κ is a constant inverse length:</w:t>
      </w:r>
    </w:p>
    <w:p>
      <w:pPr>
        <w:pStyle w:val="Equation"/>
        <w:tabs>
          <w:tab w:pos="9360" w:val="right"/>
        </w:tabs>
        <w:jc w:val="left"/>
      </w:pPr>
      <w:r/>
      <m:oMath>
        <m:r>
          <m:t>d ln S / dr = κ,   S(r) = 1 + z = exp(κr).</m:t>
        </m:r>
      </m:oMath>
      <w:r>
        <w:tab/>
        <w:t>(1)</w:t>
      </w:r>
    </w:p>
    <w:p>
      <w:r>
        <w:t>Equivalently, each small segment changes an interval by a fraction κ dr of its current value, rather than by the same absolute number of seconds. Multiplication over many segments gives the exponential. These assumptions explain the functional form conditionally; they do not predict κ, establish the composition rule experimentally, or identify the underlying field. An environmental extension replaces κr by an integral of κ(x,t,direction) along the ray and requires additional measured inputs.</w:t>
      </w:r>
    </w:p>
    <w:p>
      <w:pPr>
        <w:pStyle w:val="Equation"/>
        <w:tabs>
          <w:tab w:pos="9360" w:val="right"/>
        </w:tabs>
        <w:jc w:val="left"/>
      </w:pPr>
      <w:r/>
      <m:oMath>
        <m:r>
          <m:t>κ = 7.7314965955 × 10⁻⁵ Mly⁻¹ = 2.5216769238 × 10⁻⁴ Mpc⁻¹.</m:t>
        </m:r>
      </m:oMath>
      <w:r>
        <w:tab/>
        <w:t>(2)</w:t>
      </w:r>
    </w:p>
    <w:p>
      <w:r>
        <w:t>Here one Mly is one million light-years, and r is a length defined using present-day units. The model’s photon travel time need not equal r divided by the present photon speed. The equivalent fitted slope is cκ=75.5979723 km s⁻¹ Mpc⁻¹; this is a dimensional conversion, not an expansion rate in the proposed universe. The displayed digits preserve the computation and should not be read as comparable physical precision.</w:t>
      </w:r>
    </w:p>
    <w:tbl>
      <w:tblPr>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color="D4D4D4"/>
          <w:left w:val="single" w:sz="4" w:color="D4D4D4"/>
          <w:bottom w:val="single" w:sz="4" w:color="D4D4D4"/>
          <w:right w:val="single" w:sz="4" w:color="D4D4D4"/>
          <w:insideH w:val="single" w:sz="4" w:color="D4D4D4"/>
          <w:insideV w:val="single" w:sz="4" w:color="D4D4D4"/>
        </w:tblBorders>
      </w:tblPr>
      <w:tblGrid>
        <w:gridCol w:w="2500"/>
        <w:gridCol w:w="2860"/>
        <w:gridCol w:w="4000"/>
      </w:tblGrid>
      <w:tr>
        <w:trPr>
          <w:cantSplit/>
          <w:tblHeader/>
        </w:trPr>
        <w:tc>
          <w:tcPr>
            <w:tcW w:type="dxa" w:w="2500"/>
            <w:shd w:fill="F2F4F7"/>
          </w:tcPr>
          <w:p>
            <w:pPr>
              <w:pStyle w:val="Data"/>
              <w:spacing w:after="20"/>
            </w:pPr>
            <w:r>
              <w:rPr>
                <w:b/>
              </w:rPr>
            </w:r>
            <w:r>
              <w:rPr>
                <w:b/>
              </w:rPr>
              <w:t>Geometric path (Mly)</w:t>
            </w:r>
          </w:p>
        </w:tc>
        <w:tc>
          <w:tcPr>
            <w:tcW w:type="dxa" w:w="2860"/>
            <w:shd w:fill="F2F4F7"/>
          </w:tcPr>
          <w:p>
            <w:pPr>
              <w:pStyle w:val="Data"/>
              <w:spacing w:after="20"/>
            </w:pPr>
            <w:r>
              <w:rPr>
                <w:b/>
              </w:rPr>
            </w:r>
            <w:r>
              <w:rPr>
                <w:b/>
              </w:rPr>
              <w:t>S = 1+z</w:t>
            </w:r>
          </w:p>
        </w:tc>
        <w:tc>
          <w:tcPr>
            <w:tcW w:type="dxa" w:w="4000"/>
            <w:shd w:fill="F2F4F7"/>
          </w:tcPr>
          <w:p>
            <w:pPr>
              <w:pStyle w:val="Data"/>
              <w:spacing w:after="20"/>
            </w:pPr>
            <w:r>
              <w:rPr>
                <w:b/>
              </w:rPr>
            </w:r>
            <w:r>
              <w:rPr>
                <w:b/>
              </w:rPr>
              <w:t>One emitted second arrives as</w:t>
            </w:r>
          </w:p>
        </w:tc>
      </w:tr>
      <w:tr>
        <w:trPr>
          <w:cantSplit/>
        </w:trPr>
        <w:tc>
          <w:tcPr>
            <w:tcW w:type="dxa" w:w="2500"/>
          </w:tcPr>
          <w:p>
            <w:pPr>
              <w:pStyle w:val="Data"/>
              <w:spacing w:after="20"/>
            </w:pPr>
            <w:r>
              <w:rPr>
                <w:b w:val="0"/>
              </w:rPr>
            </w:r>
            <w:r>
              <w:rPr>
                <w:b w:val="0"/>
              </w:rPr>
              <w:t>1</w:t>
            </w:r>
          </w:p>
        </w:tc>
        <w:tc>
          <w:tcPr>
            <w:tcW w:type="dxa" w:w="2860"/>
          </w:tcPr>
          <w:p>
            <w:pPr>
              <w:pStyle w:val="Data"/>
              <w:spacing w:after="20"/>
            </w:pPr>
            <w:r>
              <w:rPr>
                <w:b w:val="0"/>
              </w:rPr>
            </w:r>
            <w:r>
              <w:rPr>
                <w:b w:val="0"/>
              </w:rPr>
              <w:t>1.000077318</w:t>
            </w:r>
          </w:p>
        </w:tc>
        <w:tc>
          <w:tcPr>
            <w:tcW w:type="dxa" w:w="4000"/>
          </w:tcPr>
          <w:p>
            <w:pPr>
              <w:pStyle w:val="Data"/>
              <w:spacing w:after="20"/>
            </w:pPr>
            <w:r>
              <w:rPr>
                <w:b w:val="0"/>
              </w:rPr>
            </w:r>
            <w:r>
              <w:rPr>
                <w:b w:val="0"/>
              </w:rPr>
              <w:t>1.000077318 s</w:t>
            </w:r>
          </w:p>
        </w:tc>
      </w:tr>
      <w:tr>
        <w:trPr>
          <w:cantSplit/>
        </w:trPr>
        <w:tc>
          <w:tcPr>
            <w:tcW w:type="dxa" w:w="2500"/>
          </w:tcPr>
          <w:p>
            <w:pPr>
              <w:pStyle w:val="Data"/>
              <w:spacing w:after="20"/>
            </w:pPr>
            <w:r>
              <w:rPr>
                <w:b w:val="0"/>
              </w:rPr>
            </w:r>
            <w:r>
              <w:rPr>
                <w:b w:val="0"/>
              </w:rPr>
              <w:t>10</w:t>
            </w:r>
          </w:p>
        </w:tc>
        <w:tc>
          <w:tcPr>
            <w:tcW w:type="dxa" w:w="2860"/>
          </w:tcPr>
          <w:p>
            <w:pPr>
              <w:pStyle w:val="Data"/>
              <w:spacing w:after="20"/>
            </w:pPr>
            <w:r>
              <w:rPr>
                <w:b w:val="0"/>
              </w:rPr>
            </w:r>
            <w:r>
              <w:rPr>
                <w:b w:val="0"/>
              </w:rPr>
              <w:t>1.000773449</w:t>
            </w:r>
          </w:p>
        </w:tc>
        <w:tc>
          <w:tcPr>
            <w:tcW w:type="dxa" w:w="4000"/>
          </w:tcPr>
          <w:p>
            <w:pPr>
              <w:pStyle w:val="Data"/>
              <w:spacing w:after="20"/>
            </w:pPr>
            <w:r>
              <w:rPr>
                <w:b w:val="0"/>
              </w:rPr>
            </w:r>
            <w:r>
              <w:rPr>
                <w:b w:val="0"/>
              </w:rPr>
              <w:t>1.000773449 s</w:t>
            </w:r>
          </w:p>
        </w:tc>
      </w:tr>
      <w:tr>
        <w:trPr>
          <w:cantSplit/>
        </w:trPr>
        <w:tc>
          <w:tcPr>
            <w:tcW w:type="dxa" w:w="2500"/>
          </w:tcPr>
          <w:p>
            <w:pPr>
              <w:pStyle w:val="Data"/>
              <w:spacing w:after="20"/>
            </w:pPr>
            <w:r>
              <w:rPr>
                <w:b w:val="0"/>
              </w:rPr>
            </w:r>
            <w:r>
              <w:rPr>
                <w:b w:val="0"/>
              </w:rPr>
              <w:t>100</w:t>
            </w:r>
          </w:p>
        </w:tc>
        <w:tc>
          <w:tcPr>
            <w:tcW w:type="dxa" w:w="2860"/>
          </w:tcPr>
          <w:p>
            <w:pPr>
              <w:pStyle w:val="Data"/>
              <w:spacing w:after="20"/>
            </w:pPr>
            <w:r>
              <w:rPr>
                <w:b w:val="0"/>
              </w:rPr>
            </w:r>
            <w:r>
              <w:rPr>
                <w:b w:val="0"/>
              </w:rPr>
              <w:t>1.007761462</w:t>
            </w:r>
          </w:p>
        </w:tc>
        <w:tc>
          <w:tcPr>
            <w:tcW w:type="dxa" w:w="4000"/>
          </w:tcPr>
          <w:p>
            <w:pPr>
              <w:pStyle w:val="Data"/>
              <w:spacing w:after="20"/>
            </w:pPr>
            <w:r>
              <w:rPr>
                <w:b w:val="0"/>
              </w:rPr>
            </w:r>
            <w:r>
              <w:rPr>
                <w:b w:val="0"/>
              </w:rPr>
              <w:t>1.007761462 s</w:t>
            </w:r>
          </w:p>
        </w:tc>
      </w:tr>
    </w:tbl>
    <w:p>
      <w:pPr>
        <w:pStyle w:val="Caption"/>
      </w:pPr>
      <w:r/>
    </w:p>
    <w:p>
      <w:pPr>
        <w:pStyle w:val="Caption"/>
      </w:pPr>
      <w:r>
        <w:t>Table 1. Model predictions, not observations of local clocks. Equal stretching of a whole signal is an additional requirement, satisfied by the conditional construction below.</w:t>
      </w:r>
    </w:p>
    <w:p>
      <w:pPr>
        <w:pStyle w:val="Heading1"/>
      </w:pPr>
      <w:r>
        <w:t>3. A conditional mechanism: evolving optical response</w:t>
      </w:r>
    </w:p>
    <w:p>
      <w:r>
        <w:t>A stationary local clock field cannot generate the proposed accumulated shift simply by adding contributions from successive wells. For clocks at rest in a stationary metric, the gravitational frequency ratio depends on the endpoint lapse factors; intermediate factors cancel [5]. We therefore consider a genuinely time-dependent propagation response. Laboratory time-refraction research establishes the relevant optical principle: in a spatially homogeneous but temporally changing medium, wavevector is conserved while frequency can change [4]. That principle does not establish an intergalactic medium of the required kind.</w:t>
      </w:r>
    </w:p>
    <w:p>
      <w:r>
        <w:t>As a constructive model, let material rulers define fixed Euclidean positions and material clocks define time t. Introduce a positive, spatially homogeneous effective optical index n(t), assumed nondispersive over the frequencies tested. Let c₀ be the present photon speed, normalize n(tₒ)=1 at the observation epoch, and assume that the calibrated source transition frequency does not change with n. Spatial homogeneity conserves the wavevector q in the adiabatic geometric-optics limit, while the instantaneous dispersion relation and ray speed are:</w:t>
      </w:r>
    </w:p>
    <w:p>
      <w:pPr>
        <w:pStyle w:val="Equation"/>
        <w:tabs>
          <w:tab w:pos="9360" w:val="right"/>
        </w:tabs>
        <w:jc w:val="left"/>
      </w:pPr>
      <w:r/>
      <m:oMath>
        <m:r>
          <m:t>ω(t) = c₀ |q| / n(t),   vγ(t) = c₀ / n(t).</m:t>
        </m:r>
      </m:oMath>
      <w:r>
        <w:tab/>
        <w:t>(3)</w:t>
      </w:r>
    </w:p>
    <w:p>
      <w:r>
        <w:t>Consequently S=n(tₒ)/n(tₑ). The spatial separation r of stationary emitter and observer equals the integral of c₀/n(t) from emission to observation. Choose the index to change linearly, with a positive constant slope γ:</w:t>
      </w:r>
    </w:p>
    <w:p>
      <w:pPr>
        <w:pStyle w:val="Equation"/>
        <w:tabs>
          <w:tab w:pos="9360" w:val="right"/>
        </w:tabs>
        <w:jc w:val="left"/>
      </w:pPr>
      <w:r/>
      <m:oMath>
        <m:r>
          <m:t>dn/dt = γ,   n(t) = 1 + γ(t − tₒ),   γ = c₀κ.</m:t>
        </m:r>
      </m:oMath>
      <w:r>
        <w:tab/>
        <w:t>(4)</w:t>
      </w:r>
    </w:p>
    <w:p>
      <w:r>
        <w:t>The path integral is then exactly r=(c₀/γ) ln[n(tₒ)/n(tₑ)]. Combining it with the frequency ratio gives Equation (1). The same model supplies envelope stretching: differentiate the fixed-distance ray integral for two neighboring emitted pulses. Its endpoint terms give dtₒ/n(tₒ)=dtₑ/n(tₑ), hence dtₒ/dtₑ=n(tₒ)/n(tₑ)=S. This is a local pulse-duration relation, valid when the optical response varies negligibly across each pulse. The derivation links frequency and temporal stretching without requiring spatial expansion.</w:t>
      </w:r>
    </w:p>
    <w:p>
      <w:pPr>
        <w:pStyle w:val="Equation"/>
        <w:tabs>
          <w:tab w:pos="9360" w:val="right"/>
        </w:tabs>
        <w:jc w:val="left"/>
      </w:pPr>
      <w:r/>
      <m:oMath>
        <m:r>
          <m:t>r = (c₀/γ) ln(nₒ/nₑ),   νₑ/νₒ = dtₒ/dtₑ = exp(κr).</m:t>
        </m:r>
      </m:oMath>
      <w:r>
        <w:tab/>
        <w:t>(5)</w:t>
      </w:r>
    </w:p>
    <w:p>
      <w:r>
        <w:t>In this construction the spatial wavevector remains fixed during homogeneous propagation. It is the temporal period that grows. A wavelength redshift inferred by comparison with a present-day laboratory standard remains consistent with the frequency ratio; one must not simultaneously assume that the wave’s spatial wavelength grew as it would in an expanding geometry. Material standards and their coupling to the optical field are explicit assumptions.</w:t>
      </w:r>
    </w:p>
    <w:p>
      <w:r>
        <w:t>A possible effective-field motivation is an approximately force-free, homogeneous scalar n with positive kinetic term Kₙ[(∂ₜn)²−vₙ²|∇n|²]/2 and an almost flat potential V(n). In the absence of significant backreaction its equation gives ∂ₜ²n≈0, admitting Equation (4). Couple its optical response through ε=ε₀n and μ=μ₀n; then the photon speed is c₀/n and impedance is constant. A corresponding electromagnetic Lagrangian density is ε₀nE²/2−B²/(2μ₀n). This is a schematic constitutive model, not a completed cosmological action. Electromagnetic coupling sources the scalar, so constant γ is an approximation that requires a controlled backreaction calculation.</w:t>
      </w:r>
    </w:p>
    <w:p>
      <w:r>
        <w:t>The coefficient γ is an integration constant in this construction. Its fitted value, 2.44996×10⁻¹⁸ s⁻¹ today, is not derived from known fundamental constants. Photon energy decreases as E∝1/n and must be transferred to the response field or its driving sector. Photon number conservation and negligible scattering are assumed separately. Including that sector is necessary for energy accounting, but its stress-energy and the possibility of maintaining static geometry have not been solved. The construction must not silently reintroduce an untested gravitating component as an explanation of galaxy dynamics.</w:t>
      </w:r>
    </w:p>
    <w:p>
      <w:pPr>
        <w:pStyle w:val="Heading1"/>
      </w:pPr>
      <w:r>
        <w:t>4. Brightness and prediction without using the target redshift</w:t>
      </w:r>
    </w:p>
    <w:p>
      <w:r>
        <w:t>For isotropic emission into Euclidean ray geometry, assume no absorption, no photon creation and no scattering out of the beam. Each arriving photon has energy smaller by S, and equal envelope stretching reduces the photon arrival rate by another factor S. If L is the emitted bolometric luminosity per source-clock second, the received bolometric flux is F=L/(4πr²S²). Defining luminosity distance by F=L/(4π</w:t>
      </w:r>
      <w:r>
        <w:t>D</w:t>
      </w:r>
      <w:r>
        <w:rPr>
          <w:vertAlign w:val="subscript"/>
        </w:rPr>
        <w:t>L</w:t>
      </w:r>
      <w:r>
        <w:t xml:space="preserve">²) gives </w:t>
      </w:r>
      <w:r>
        <w:t>D</w:t>
      </w:r>
      <w:r>
        <w:rPr>
          <w:vertAlign w:val="subscript"/>
        </w:rPr>
        <w:t>L</w:t>
      </w:r>
      <w:r>
        <w:t>=rS. This derives the brightness relation used in the archived experiment under the stated optical and source assumptions, not from an expansion law.</w:t>
      </w:r>
    </w:p>
    <w:p>
      <w:pPr>
        <w:pStyle w:val="Equation"/>
        <w:tabs>
          <w:tab w:pos="9360" w:val="right"/>
        </w:tabs>
        <w:jc w:val="left"/>
      </w:pPr>
      <w:r/>
      <m:oMath>
        <m:r>
          <m:t/>
        </m:r>
        <m:sSub>
          <m:e>
            <m:r>
              <m:t>D</m:t>
            </m:r>
          </m:e>
          <m:sub>
            <m:r>
              <m:t>L</m:t>
            </m:r>
          </m:sub>
        </m:sSub>
        <m:r>
          <m:t> = r exp(κr),   κr = W(κ</m:t>
        </m:r>
        <m:sSub>
          <m:e>
            <m:r>
              <m:t>D</m:t>
            </m:r>
          </m:e>
          <m:sub>
            <m:r>
              <m:t>L</m:t>
            </m:r>
          </m:sub>
        </m:sSub>
        <m:r>
          <m:t>),   zpred = exp[W(κ</m:t>
        </m:r>
        <m:sSub>
          <m:e>
            <m:r>
              <m:t>D</m:t>
            </m:r>
          </m:e>
          <m:sub>
            <m:r>
              <m:t>L</m:t>
            </m:r>
          </m:sub>
        </m:sSub>
        <m:r>
          <m:t>)] − 1.</m:t>
        </m:r>
      </m:oMath>
      <w:r>
        <w:tab/>
        <w:t>(6)</w:t>
      </w:r>
    </w:p>
    <w:p>
      <w:r>
        <w:t>W is the principal real Lambert function, defined by W(x) exp[W(x)]=x. For positive distance and κ, Equation (6) is single-valued. The prediction uses only the measured distance and fitted coefficient: no observed target redshift appears on its right-hand side. Treating the brightness distance as the geometric path instead would give exp(κ</w:t>
      </w:r>
      <w:r>
        <w:t>D</w:t>
      </w:r>
      <w:r>
        <w:rPr>
          <w:vertAlign w:val="subscript"/>
        </w:rPr>
        <w:t>L</w:t>
      </w:r>
      <w:r>
        <w:t>)−1, a different approximation retained only as a diagnostic.</w:t>
      </w:r>
    </w:p>
    <w:p>
      <w:r>
        <w:t>If photon energies redshift but whole signals do not stretch, luminosity distance would instead be r√S in this same geometry. Opacity, dispersion, source-clock evolution or different angular transport would modify the relation again. Thus the successful fit is conditional on a specific brightness prescription. Published SBF bandpass and population corrections were not rebuilt from the images; their use limits the interpretation even though the model inversion itself does not feed the target redshift back into the prediction.</w:t>
      </w:r>
    </w:p>
    <w:p>
      <w:pPr>
        <w:pStyle w:val="Heading1"/>
      </w:pPr>
      <w:r>
        <w:t>5. Data, selection and fitting</w:t>
      </w:r>
    </w:p>
    <w:p>
      <w:r>
        <w:t xml:space="preserve">The source is Cosmicflows-4 table 2, distributed through CDS [1]. Select the method-specific SBF modulus μ and its uncertainty σμ, convert </w:t>
      </w:r>
      <w:r>
        <w:t>D</w:t>
      </w:r>
      <w:r>
        <w:rPr>
          <w:vertAlign w:val="subscript"/>
        </w:rPr>
        <w:t>L</w:t>
      </w:r>
      <w:r>
        <w:t>=10^[(μ−25)/5] Mpc, require 10≤</w:t>
      </w:r>
      <w:r>
        <w:t>D</w:t>
      </w:r>
      <w:r>
        <w:rPr>
          <w:vertAlign w:val="subscript"/>
        </w:rPr>
        <w:t>L</w:t>
      </w:r>
      <w:r>
        <w:t>≤150 Mpc and 0&lt;σμ≤0.30 mag, and exclude all 68 dominant-PGC groups present in the earlier pilot. These cuts produce 213 galaxy measurements. Retaining the smallest-uncertainty SBF measurement in each group, with PGC as the tie-breaker, leaves 164 group representatives. Selection uses no cut on target redshift, but group construction and distance calibration have inherited catalog assumptions.</w:t>
      </w:r>
    </w:p>
    <w:p>
      <w:r>
        <w:t>Divide the sky into 24 right-ascension bins and four equal sin(declination) bins. A fixed SHA256 mapping of each occupied sky tile assigns the split without retries. This gives 104 training groups in 36 tiles, 35 validation groups in 16 tiles and 25 final-test groups in 13 tiles. All parameter fits use training labels only. Validation is diagnostic, not a tuning or selection stage. Parameters, predictions and checksums were saved before held-out scoring in the archived run. This is a computational holdout of published data, not independently blinded observations; neighboring structures and shared calibrations can correlate different tiles.</w:t>
      </w:r>
    </w:p>
    <w:p>
      <w:r>
        <w:t>Write yᵢ=czᵢ in km/s and μ̂ᵢ=c zpred(Dᵢ). Each fitted model minimizes the sum of Gaussian negative log likelihoods, including the logarithm of its distance-dependent variance:</w:t>
      </w:r>
    </w:p>
    <w:p>
      <w:pPr>
        <w:pStyle w:val="Equation"/>
        <w:tabs>
          <w:tab w:pos="9360" w:val="right"/>
        </w:tabs>
        <w:jc w:val="left"/>
      </w:pPr>
      <w:r/>
      <m:oMath>
        <m:r>
          <m:t>NLL = Σᵢ { ln σᵢ + (yᵢ − μ̂ᵢ)²/(2σᵢ²) + ½ ln(2π) }.</m:t>
        </m:r>
      </m:oMath>
      <w:r>
        <w:tab/>
        <w:t>(7)</w:t>
      </w:r>
    </w:p>
    <w:p>
      <w:pPr>
        <w:pStyle w:val="Equation"/>
        <w:tabs>
          <w:tab w:pos="9360" w:val="right"/>
        </w:tabs>
        <w:jc w:val="left"/>
      </w:pPr>
      <w:r/>
      <m:oMath>
        <m:r>
          <m:t>σᵢ² = (300 km/s)² + [(∂μ̂ᵢ/∂Dᵢ) σD,ᵢ]²,   σD,ᵢ = Dᵢ ln(10) σμ,ᵢ/5.</m:t>
        </m:r>
      </m:oMath>
      <w:r>
        <w:tab/>
        <w:t>(8)</w:t>
      </w:r>
    </w:p>
    <w:p>
      <w:r>
        <w:t>The fixed 300 km/s floor represents unresolved motions phenomenologically. The individual representative’s systemic CMB-frame velocity is used; internal group motion is not removed. The method omits correlated flows, common distance-scale errors, selection-function corrections and a latent-distance likelihood. This is an explicit approximate error model. For the temporal prescription, ∂μ̂/∂D=cκ/[1+W(κD)], which is used in the variance rather than a derivative evaluated with the observed target redshift.</w:t>
      </w:r>
    </w:p>
    <w:p>
      <w:r>
        <w:t>The comparator is a specified flat FLRW distance law with matter fraction 0.3, cosmological-constant fraction 0.7 and negligible radiation [3]. It fits only H₀, while the temporal model fits only cκ. Its luminosity distance is (c/H₀)(1+z) times the integral from 0 to z of [0.3(1+u)³+0.7]⁻¹ᐟ²; numerical inversion predicts z from the same input distance. The fitted comparator scale is H₀=75.8848424 km s⁻¹ Mpc⁻¹. This is a controlled benchmark, not an analysis of all cosmological observations.</w:t>
      </w:r>
    </w:p>
    <w:p>
      <w:pPr>
        <w:pStyle w:val="Heading1"/>
      </w:pPr>
      <w:r>
        <w:t>6. Results and what they establish</w:t>
      </w:r>
    </w:p>
    <w:tbl>
      <w:tblPr>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color="D4D4D4"/>
          <w:left w:val="single" w:sz="4" w:color="D4D4D4"/>
          <w:bottom w:val="single" w:sz="4" w:color="D4D4D4"/>
          <w:right w:val="single" w:sz="4" w:color="D4D4D4"/>
          <w:insideH w:val="single" w:sz="4" w:color="D4D4D4"/>
          <w:insideV w:val="single" w:sz="4" w:color="D4D4D4"/>
        </w:tblBorders>
      </w:tblPr>
      <w:tblGrid>
        <w:gridCol w:w="4320"/>
        <w:gridCol w:w="1680"/>
        <w:gridCol w:w="1680"/>
        <w:gridCol w:w="1680"/>
      </w:tblGrid>
      <w:tr>
        <w:trPr>
          <w:cantSplit/>
          <w:tblHeader/>
        </w:trPr>
        <w:tc>
          <w:tcPr>
            <w:tcW w:type="dxa" w:w="4320"/>
            <w:shd w:fill="F2F4F7"/>
          </w:tcPr>
          <w:p>
            <w:pPr>
              <w:pStyle w:val="Data"/>
              <w:spacing w:after="20"/>
            </w:pPr>
            <w:r>
              <w:rPr>
                <w:b/>
              </w:rPr>
            </w:r>
            <w:r>
              <w:rPr>
                <w:b/>
              </w:rPr>
              <w:t>Prescription</w:t>
            </w:r>
          </w:p>
        </w:tc>
        <w:tc>
          <w:tcPr>
            <w:tcW w:type="dxa" w:w="1680"/>
            <w:shd w:fill="F2F4F7"/>
          </w:tcPr>
          <w:p>
            <w:pPr>
              <w:pStyle w:val="Data"/>
              <w:spacing w:after="20"/>
            </w:pPr>
            <w:r>
              <w:rPr>
                <w:b/>
              </w:rPr>
            </w:r>
            <w:r>
              <w:rPr>
                <w:b/>
              </w:rPr>
              <w:t>Validation RMSE</w:t>
            </w:r>
          </w:p>
        </w:tc>
        <w:tc>
          <w:tcPr>
            <w:tcW w:type="dxa" w:w="1680"/>
            <w:shd w:fill="F2F4F7"/>
          </w:tcPr>
          <w:p>
            <w:pPr>
              <w:pStyle w:val="Data"/>
              <w:spacing w:after="20"/>
            </w:pPr>
            <w:r>
              <w:rPr>
                <w:b/>
              </w:rPr>
            </w:r>
            <w:r>
              <w:rPr>
                <w:b/>
              </w:rPr>
              <w:t>Test RMSE</w:t>
            </w:r>
          </w:p>
        </w:tc>
        <w:tc>
          <w:tcPr>
            <w:tcW w:type="dxa" w:w="1680"/>
            <w:shd w:fill="F2F4F7"/>
          </w:tcPr>
          <w:p>
            <w:pPr>
              <w:pStyle w:val="Data"/>
              <w:spacing w:after="20"/>
            </w:pPr>
            <w:r>
              <w:rPr>
                <w:b/>
              </w:rPr>
            </w:r>
            <w:r>
              <w:rPr>
                <w:b/>
              </w:rPr>
              <w:t>Test MAE</w:t>
            </w:r>
          </w:p>
        </w:tc>
      </w:tr>
      <w:tr>
        <w:trPr>
          <w:cantSplit/>
        </w:trPr>
        <w:tc>
          <w:tcPr>
            <w:tcW w:type="dxa" w:w="4320"/>
          </w:tcPr>
          <w:p>
            <w:pPr>
              <w:pStyle w:val="Data"/>
              <w:spacing w:after="20"/>
            </w:pPr>
            <w:r>
              <w:rPr>
                <w:b w:val="0"/>
              </w:rPr>
            </w:r>
            <w:r>
              <w:rPr>
                <w:b w:val="0"/>
              </w:rPr>
              <w:t>Temporal transport + brightness correction</w:t>
            </w:r>
          </w:p>
        </w:tc>
        <w:tc>
          <w:tcPr>
            <w:tcW w:type="dxa" w:w="1680"/>
          </w:tcPr>
          <w:p>
            <w:pPr>
              <w:pStyle w:val="Data"/>
              <w:spacing w:after="20"/>
            </w:pPr>
            <w:r>
              <w:rPr>
                <w:b w:val="0"/>
              </w:rPr>
            </w:r>
            <w:r>
              <w:rPr>
                <w:b w:val="0"/>
              </w:rPr>
              <w:t>435.927</w:t>
            </w:r>
          </w:p>
        </w:tc>
        <w:tc>
          <w:tcPr>
            <w:tcW w:type="dxa" w:w="1680"/>
          </w:tcPr>
          <w:p>
            <w:pPr>
              <w:pStyle w:val="Data"/>
              <w:spacing w:after="20"/>
            </w:pPr>
            <w:r>
              <w:rPr>
                <w:b w:val="0"/>
              </w:rPr>
            </w:r>
            <w:r>
              <w:rPr>
                <w:b w:val="0"/>
              </w:rPr>
              <w:t>412.441</w:t>
            </w:r>
          </w:p>
        </w:tc>
        <w:tc>
          <w:tcPr>
            <w:tcW w:type="dxa" w:w="1680"/>
          </w:tcPr>
          <w:p>
            <w:pPr>
              <w:pStyle w:val="Data"/>
              <w:spacing w:after="20"/>
            </w:pPr>
            <w:r>
              <w:rPr>
                <w:b w:val="0"/>
              </w:rPr>
            </w:r>
            <w:r>
              <w:rPr>
                <w:b w:val="0"/>
              </w:rPr>
              <w:t>336.927</w:t>
            </w:r>
          </w:p>
        </w:tc>
      </w:tr>
      <w:tr>
        <w:trPr>
          <w:cantSplit/>
        </w:trPr>
        <w:tc>
          <w:tcPr>
            <w:tcW w:type="dxa" w:w="4320"/>
          </w:tcPr>
          <w:p>
            <w:pPr>
              <w:pStyle w:val="Data"/>
              <w:spacing w:after="20"/>
            </w:pPr>
            <w:r>
              <w:rPr>
                <w:b w:val="0"/>
              </w:rPr>
            </w:r>
            <w:r>
              <w:rPr>
                <w:b w:val="0"/>
              </w:rPr>
              <w:t>Specified expanding reference</w:t>
            </w:r>
          </w:p>
        </w:tc>
        <w:tc>
          <w:tcPr>
            <w:tcW w:type="dxa" w:w="1680"/>
          </w:tcPr>
          <w:p>
            <w:pPr>
              <w:pStyle w:val="Data"/>
              <w:spacing w:after="20"/>
            </w:pPr>
            <w:r>
              <w:rPr>
                <w:b w:val="0"/>
              </w:rPr>
            </w:r>
            <w:r>
              <w:rPr>
                <w:b w:val="0"/>
              </w:rPr>
              <w:t>435.900</w:t>
            </w:r>
          </w:p>
        </w:tc>
        <w:tc>
          <w:tcPr>
            <w:tcW w:type="dxa" w:w="1680"/>
          </w:tcPr>
          <w:p>
            <w:pPr>
              <w:pStyle w:val="Data"/>
              <w:spacing w:after="20"/>
            </w:pPr>
            <w:r>
              <w:rPr>
                <w:b w:val="0"/>
              </w:rPr>
            </w:r>
            <w:r>
              <w:rPr>
                <w:b w:val="0"/>
              </w:rPr>
              <w:t>411.934</w:t>
            </w:r>
          </w:p>
        </w:tc>
        <w:tc>
          <w:tcPr>
            <w:tcW w:type="dxa" w:w="1680"/>
          </w:tcPr>
          <w:p>
            <w:pPr>
              <w:pStyle w:val="Data"/>
              <w:spacing w:after="20"/>
            </w:pPr>
            <w:r>
              <w:rPr>
                <w:b w:val="0"/>
              </w:rPr>
            </w:r>
            <w:r>
              <w:rPr>
                <w:b w:val="0"/>
              </w:rPr>
              <w:t>336.252</w:t>
            </w:r>
          </w:p>
        </w:tc>
      </w:tr>
      <w:tr>
        <w:trPr>
          <w:cantSplit/>
        </w:trPr>
        <w:tc>
          <w:tcPr>
            <w:tcW w:type="dxa" w:w="4320"/>
          </w:tcPr>
          <w:p>
            <w:pPr>
              <w:pStyle w:val="Data"/>
              <w:spacing w:after="20"/>
            </w:pPr>
            <w:r>
              <w:rPr>
                <w:b w:val="0"/>
              </w:rPr>
            </w:r>
            <w:r>
              <w:rPr>
                <w:b w:val="0"/>
              </w:rPr>
              <w:t>Distance-as-path exponential approximation</w:t>
            </w:r>
          </w:p>
        </w:tc>
        <w:tc>
          <w:tcPr>
            <w:tcW w:type="dxa" w:w="1680"/>
          </w:tcPr>
          <w:p>
            <w:pPr>
              <w:pStyle w:val="Data"/>
              <w:spacing w:after="20"/>
            </w:pPr>
            <w:r>
              <w:rPr>
                <w:b w:val="0"/>
              </w:rPr>
            </w:r>
            <w:r>
              <w:rPr>
                <w:b w:val="0"/>
              </w:rPr>
              <w:t>436.301</w:t>
            </w:r>
          </w:p>
        </w:tc>
        <w:tc>
          <w:tcPr>
            <w:tcW w:type="dxa" w:w="1680"/>
          </w:tcPr>
          <w:p>
            <w:pPr>
              <w:pStyle w:val="Data"/>
              <w:spacing w:after="20"/>
            </w:pPr>
            <w:r>
              <w:rPr>
                <w:b w:val="0"/>
              </w:rPr>
            </w:r>
            <w:r>
              <w:rPr>
                <w:b w:val="0"/>
              </w:rPr>
              <w:t>414.627</w:t>
            </w:r>
          </w:p>
        </w:tc>
        <w:tc>
          <w:tcPr>
            <w:tcW w:type="dxa" w:w="1680"/>
          </w:tcPr>
          <w:p>
            <w:pPr>
              <w:pStyle w:val="Data"/>
              <w:spacing w:after="20"/>
            </w:pPr>
            <w:r>
              <w:rPr>
                <w:b w:val="0"/>
              </w:rPr>
            </w:r>
            <w:r>
              <w:rPr>
                <w:b w:val="0"/>
              </w:rPr>
              <w:t>339.437</w:t>
            </w:r>
          </w:p>
        </w:tc>
      </w:tr>
      <w:tr>
        <w:trPr>
          <w:cantSplit/>
        </w:trPr>
        <w:tc>
          <w:tcPr>
            <w:tcW w:type="dxa" w:w="4320"/>
          </w:tcPr>
          <w:p>
            <w:pPr>
              <w:pStyle w:val="Data"/>
              <w:spacing w:after="20"/>
            </w:pPr>
            <w:r>
              <w:rPr>
                <w:b w:val="0"/>
              </w:rPr>
            </w:r>
            <w:r>
              <w:rPr>
                <w:b w:val="0"/>
              </w:rPr>
              <w:t>Temporal model, earlier pilot rate fixed</w:t>
            </w:r>
          </w:p>
        </w:tc>
        <w:tc>
          <w:tcPr>
            <w:tcW w:type="dxa" w:w="1680"/>
          </w:tcPr>
          <w:p>
            <w:pPr>
              <w:pStyle w:val="Data"/>
              <w:spacing w:after="20"/>
            </w:pPr>
            <w:r>
              <w:rPr>
                <w:b w:val="0"/>
              </w:rPr>
            </w:r>
            <w:r>
              <w:rPr>
                <w:b w:val="0"/>
              </w:rPr>
              <w:t>444.872</w:t>
            </w:r>
          </w:p>
        </w:tc>
        <w:tc>
          <w:tcPr>
            <w:tcW w:type="dxa" w:w="1680"/>
          </w:tcPr>
          <w:p>
            <w:pPr>
              <w:pStyle w:val="Data"/>
              <w:spacing w:after="20"/>
            </w:pPr>
            <w:r>
              <w:rPr>
                <w:b w:val="0"/>
              </w:rPr>
            </w:r>
            <w:r>
              <w:rPr>
                <w:b w:val="0"/>
              </w:rPr>
              <w:t>427.645</w:t>
            </w:r>
          </w:p>
        </w:tc>
        <w:tc>
          <w:tcPr>
            <w:tcW w:type="dxa" w:w="1680"/>
          </w:tcPr>
          <w:p>
            <w:pPr>
              <w:pStyle w:val="Data"/>
              <w:spacing w:after="20"/>
            </w:pPr>
            <w:r>
              <w:rPr>
                <w:b w:val="0"/>
              </w:rPr>
            </w:r>
            <w:r>
              <w:rPr>
                <w:b w:val="0"/>
              </w:rPr>
              <w:t>355.102</w:t>
            </w:r>
          </w:p>
        </w:tc>
      </w:tr>
    </w:tbl>
    <w:p>
      <w:pPr>
        <w:pStyle w:val="Caption"/>
      </w:pPr>
      <w:r/>
    </w:p>
    <w:p>
      <w:pPr>
        <w:pStyle w:val="Caption"/>
      </w:pPr>
      <w:r>
        <w:t>Table 2. Errors are in km/s as cΔz, not inferred physical recession speeds. Every prescription is scored on the same held-out objects.</w:t>
      </w:r>
    </w:p>
    <w:p>
      <w:r>
        <w:t>The expanding reference has a 0.507 km/s lower final-test RMSE. A paired 5,000-draw sky-tile bootstrap for temporal-minus-reference RMSE gives a 95% interval from −0.814 to +1.948 km/s. It includes zero; the sample does not resolve a preferred model. The two laws share the leading low-distance relation z≈κ</w:t>
      </w:r>
      <w:r>
        <w:t>D</w:t>
      </w:r>
      <w:r>
        <w:rPr>
          <w:vertAlign w:val="subscript"/>
        </w:rPr>
        <w:t>L</w:t>
      </w:r>
      <w:r>
        <w:t>, making their small differences difficult to distinguish from distance errors and motions. The temporal test error is approximately 0.001376 in redshift units.</w:t>
      </w:r>
    </w:p>
    <w:p>
      <w:r>
        <w:t>Training-only sky-tile bootstrap refits give a conditional 95% range cκ=73.053–78.656 km s⁻¹ Mpc⁻¹. It excludes neither common calibration errors nor the consequences of model misspecification. The earlier pilot rate was 69.5192 km s⁻¹ Mpc⁻¹; the new rate is 8.74% higher. A universal coefficient is therefore not established. Nominal 95% prediction bands cover 22 of 25 test objects, or 88%; they omit parameter uncertainty and cannot be described as validated 95% coverage.</w:t>
      </w:r>
    </w:p>
    <w:p>
      <w:r>
        <w:t>For this paper, the archived parameter and prediction hashes were checked and both primary test RMSE values were independently recomputed from the saved full-precision predictions and labels. No new fit was substituted and no final-test object was removed. Figure 1 and Appendix A show all 25 test objects. The preserved pipeline and the 164-row supplementary table allow independent recalculation; they do not turn exposed observations into a fresh holdout.</w:t>
      </w:r>
    </w:p>
    <w:p>
      <w:r>
        <w:drawing>
          <wp:inline xmlns:a="http://schemas.openxmlformats.org/drawingml/2006/main" xmlns:pic="http://schemas.openxmlformats.org/drawingml/2006/picture">
            <wp:extent cx="5760720" cy="4526280"/>
            <wp:docPr id="1" name="Picture 1"/>
            <wp:cNvGraphicFramePr>
              <a:graphicFrameLocks noChangeAspect="1"/>
            </wp:cNvGraphicFramePr>
            <a:graphic>
              <a:graphicData uri="http://schemas.openxmlformats.org/drawingml/2006/picture">
                <pic:pic>
                  <pic:nvPicPr>
                    <pic:cNvPr id="0" name="test_predictions.png"/>
                    <pic:cNvPicPr/>
                  </pic:nvPicPr>
                  <pic:blipFill>
                    <a:blip r:embed="rId11"/>
                    <a:stretch>
                      <a:fillRect/>
                    </a:stretch>
                  </pic:blipFill>
                  <pic:spPr>
                    <a:xfrm>
                      <a:off x="0" y="0"/>
                      <a:ext cx="5760720" cy="4526280"/>
                    </a:xfrm>
                    <a:prstGeom prst="rect"/>
                  </pic:spPr>
                </pic:pic>
              </a:graphicData>
            </a:graphic>
          </wp:inline>
        </w:drawing>
      </w:r>
    </w:p>
    <w:p>
      <w:pPr>
        <w:pStyle w:val="Caption"/>
      </w:pPr>
      <w:r>
        <w:t>Figure 1. Every final-test observation and the two primary predictions (upper panel), with temporal-model prediction minus observation below. The prediction curves nearly overlap. A good distance trend alone does not identify its physical cause.</w:t>
      </w:r>
    </w:p>
    <w:p>
      <w:pPr>
        <w:pStyle w:val="Heading1"/>
      </w:pPr>
      <w:r>
        <w:t>7. Distinguishing predictions and required evidence</w:t>
      </w:r>
    </w:p>
    <w:p>
      <w:r>
        <w:t>A convincing test must address consequences that were not used to fit κ. The current 25 final-test objects are exposed and must be treated as development data in any future model change. A new sample should be specified before labels are inspected, with independent distance anchors, forward-modeled photometry and common calibration covariance. Longer-distance predictions below are extrapolations of the hypothesis, not measurements or validated extensions of this fit.</w:t>
      </w:r>
    </w:p>
    <w:p>
      <w:r>
        <w:t>Temporal and spectral agreement. With source evolution modeled independently, a matched transient or periodic signal should have duration stretch equal to 1+z. Multi-band line ratios should give the same z because the proposed response is nondispersive. Chromatic residuals, pulse broadening beyond the source model, polarization effects or angular blurring would require additional response physics or reject the simplest construction. Measuring transient dilation alone would not distinguish this model from expansion; it instead tests its own brightness assumption.</w:t>
      </w:r>
    </w:p>
    <w:p>
      <w:r>
        <w:t xml:space="preserve">Distance duality and surface brightness. In the proposed Euclidean ray geometry, angular-diameter distance </w:t>
      </w:r>
      <w:r>
        <w:t>D</w:t>
      </w:r>
      <w:r>
        <w:rPr>
          <w:vertAlign w:val="subscript"/>
        </w:rPr>
        <w:t>A</w:t>
      </w:r>
      <w:r>
        <w:t xml:space="preserve">=r and </w:t>
      </w:r>
      <w:r>
        <w:t>D</w:t>
      </w:r>
      <w:r>
        <w:rPr>
          <w:vertAlign w:val="subscript"/>
        </w:rPr>
        <w:t>L</w:t>
      </w:r>
      <w:r>
        <w:t>=(1+z)</w:t>
      </w:r>
      <w:r>
        <w:t>D</w:t>
      </w:r>
      <w:r>
        <w:rPr>
          <w:vertAlign w:val="subscript"/>
        </w:rPr>
        <w:t>A</w:t>
      </w:r>
      <w:r>
        <w:t xml:space="preserve">. Bolometric surface brightness of otherwise identical resolved sources scales as (1+z)⁻². Standard metric, photon-conserving distance duality has </w:t>
      </w:r>
      <w:r>
        <w:t>D</w:t>
      </w:r>
      <w:r>
        <w:rPr>
          <w:vertAlign w:val="subscript"/>
        </w:rPr>
        <w:t>L</w:t>
      </w:r>
      <w:r>
        <w:t>=(1+z)²</w:t>
      </w:r>
      <w:r>
        <w:t>D</w:t>
      </w:r>
      <w:r>
        <w:rPr>
          <w:vertAlign w:val="subscript"/>
        </w:rPr>
        <w:t>A</w:t>
      </w:r>
      <w:r>
        <w:t>, giving a different comparison [3]. The temporal optical construction changes the propagation assumptions, so its relation must be tested rather than substituted into standard distance reductions. Independent rulers, fluxes and careful source-evolution corrections are required; SBF distance alone cannot perform this test.</w:t>
      </w:r>
    </w:p>
    <w:p>
      <w:r>
        <w:t>Epoch drift and local propagation. With constant γ and stationary source separation r, the derived redshift is independent of observation epoch: dz/dtₒ=0. This is a specific prediction of the homogeneous construction, not of every temporal theory. The local photon speed instead changes at d ln vγ/dt=−γ/n, or about −7.7315×10⁻¹¹ per year today relative to fixed material standards. Meaningful laboratory tests compare independent clocks and rulers; they cannot simply interpret a change in a unit-defined value of c. If screening is invoked to suppress local changes, its equations must be specified and the distance law rederived through screened regions.</w:t>
      </w:r>
    </w:p>
    <w:p>
      <w:r>
        <w:t>Global consistency. With n(tₒ)=1, linear evolution reaches n=0 approximately 12.934 billion material-clock years into the past. Before that boundary the construction is undefined; past n&lt;1 also implies a photon speed greater than today’s c₀. This is a limitation of the optical ansatz, not a measured age of the universe. Stellar ages, causal structure, source spectra, background-radiation spectrum and thermal history must be checked in the same matter-clock convention. A theory with the same stars and laboratory physics must explain why the required optical response does not change stellar emission and atomic standards. Neither the assumed background geometry nor these consistency conditions has been established.</w:t>
      </w:r>
    </w:p>
    <w:tbl>
      <w:tblPr>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color="D4D4D4"/>
          <w:left w:val="single" w:sz="4" w:color="D4D4D4"/>
          <w:bottom w:val="single" w:sz="4" w:color="D4D4D4"/>
          <w:right w:val="single" w:sz="4" w:color="D4D4D4"/>
          <w:insideH w:val="single" w:sz="4" w:color="D4D4D4"/>
          <w:insideV w:val="single" w:sz="4" w:color="D4D4D4"/>
        </w:tblBorders>
      </w:tblPr>
      <w:tblGrid>
        <w:gridCol w:w="1900"/>
        <w:gridCol w:w="2500"/>
        <w:gridCol w:w="2760"/>
        <w:gridCol w:w="2200"/>
      </w:tblGrid>
      <w:tr>
        <w:trPr>
          <w:cantSplit/>
          <w:tblHeader/>
        </w:trPr>
        <w:tc>
          <w:tcPr>
            <w:tcW w:type="dxa" w:w="1900"/>
            <w:shd w:fill="F2F4F7"/>
          </w:tcPr>
          <w:p>
            <w:pPr>
              <w:pStyle w:val="Data"/>
              <w:spacing w:after="20"/>
            </w:pPr>
            <w:r>
              <w:rPr>
                <w:b/>
              </w:rPr>
            </w:r>
            <w:r>
              <w:rPr>
                <w:b/>
              </w:rPr>
              <w:t>Assumed observed z</w:t>
            </w:r>
          </w:p>
        </w:tc>
        <w:tc>
          <w:tcPr>
            <w:tcW w:type="dxa" w:w="2500"/>
            <w:shd w:fill="F2F4F7"/>
          </w:tcPr>
          <w:p>
            <w:pPr>
              <w:pStyle w:val="Data"/>
              <w:spacing w:after="20"/>
            </w:pPr>
            <w:r>
              <w:rPr>
                <w:b/>
              </w:rPr>
            </w:r>
            <w:r>
              <w:rPr>
                <w:b/>
              </w:rPr>
              <w:t>Predicted r (Mly)</w:t>
            </w:r>
          </w:p>
        </w:tc>
        <w:tc>
          <w:tcPr>
            <w:tcW w:type="dxa" w:w="2760"/>
            <w:shd w:fill="F2F4F7"/>
          </w:tcPr>
          <w:p>
            <w:pPr>
              <w:pStyle w:val="Data"/>
              <w:spacing w:after="20"/>
            </w:pPr>
            <w:r>
              <w:rPr>
                <w:b/>
              </w:rPr>
            </w:r>
            <w:r>
              <w:rPr>
                <w:b/>
              </w:rPr>
              <w:t xml:space="preserve">Predicted </w:t>
            </w:r>
            <w:r>
              <w:rPr>
                <w:b/>
              </w:rPr>
              <w:t>D</w:t>
            </w:r>
            <w:r>
              <w:rPr>
                <w:b/>
                <w:vertAlign w:val="subscript"/>
              </w:rPr>
              <w:t>L</w:t>
            </w:r>
            <w:r>
              <w:rPr>
                <w:b/>
              </w:rPr>
              <w:t xml:space="preserve"> (Mly)</w:t>
            </w:r>
          </w:p>
        </w:tc>
        <w:tc>
          <w:tcPr>
            <w:tcW w:type="dxa" w:w="2200"/>
            <w:shd w:fill="F2F4F7"/>
          </w:tcPr>
          <w:p>
            <w:pPr>
              <w:pStyle w:val="Data"/>
              <w:spacing w:after="20"/>
            </w:pPr>
            <w:r>
              <w:rPr>
                <w:b/>
              </w:rPr>
            </w:r>
            <w:r>
              <w:rPr>
                <w:b/>
              </w:rPr>
              <w:t>Duration factor</w:t>
            </w:r>
          </w:p>
        </w:tc>
      </w:tr>
      <w:tr>
        <w:trPr>
          <w:cantSplit/>
        </w:trPr>
        <w:tc>
          <w:tcPr>
            <w:tcW w:type="dxa" w:w="1900"/>
          </w:tcPr>
          <w:p>
            <w:pPr>
              <w:pStyle w:val="Data"/>
              <w:spacing w:after="20"/>
            </w:pPr>
            <w:r>
              <w:rPr>
                <w:b w:val="0"/>
              </w:rPr>
            </w:r>
            <w:r>
              <w:rPr>
                <w:b w:val="0"/>
              </w:rPr>
              <w:t>0.01</w:t>
            </w:r>
          </w:p>
        </w:tc>
        <w:tc>
          <w:tcPr>
            <w:tcW w:type="dxa" w:w="2500"/>
          </w:tcPr>
          <w:p>
            <w:pPr>
              <w:pStyle w:val="Data"/>
              <w:spacing w:after="20"/>
            </w:pPr>
            <w:r>
              <w:rPr>
                <w:b w:val="0"/>
              </w:rPr>
            </w:r>
            <w:r>
              <w:rPr>
                <w:b w:val="0"/>
              </w:rPr>
              <w:t>128.7</w:t>
            </w:r>
          </w:p>
        </w:tc>
        <w:tc>
          <w:tcPr>
            <w:tcW w:type="dxa" w:w="2760"/>
          </w:tcPr>
          <w:p>
            <w:pPr>
              <w:pStyle w:val="Data"/>
              <w:spacing w:after="20"/>
            </w:pPr>
            <w:r>
              <w:rPr>
                <w:b w:val="0"/>
              </w:rPr>
            </w:r>
            <w:r>
              <w:rPr>
                <w:b w:val="0"/>
              </w:rPr>
              <w:t>130.0</w:t>
            </w:r>
          </w:p>
        </w:tc>
        <w:tc>
          <w:tcPr>
            <w:tcW w:type="dxa" w:w="2200"/>
          </w:tcPr>
          <w:p>
            <w:pPr>
              <w:pStyle w:val="Data"/>
              <w:spacing w:after="20"/>
            </w:pPr>
            <w:r>
              <w:rPr>
                <w:b w:val="0"/>
              </w:rPr>
            </w:r>
            <w:r>
              <w:rPr>
                <w:b w:val="0"/>
              </w:rPr>
              <w:t>1.01</w:t>
            </w:r>
          </w:p>
        </w:tc>
      </w:tr>
      <w:tr>
        <w:trPr>
          <w:cantSplit/>
        </w:trPr>
        <w:tc>
          <w:tcPr>
            <w:tcW w:type="dxa" w:w="1900"/>
          </w:tcPr>
          <w:p>
            <w:pPr>
              <w:pStyle w:val="Data"/>
              <w:spacing w:after="20"/>
            </w:pPr>
            <w:r>
              <w:rPr>
                <w:b w:val="0"/>
              </w:rPr>
            </w:r>
            <w:r>
              <w:rPr>
                <w:b w:val="0"/>
              </w:rPr>
              <w:t>0.1</w:t>
            </w:r>
          </w:p>
        </w:tc>
        <w:tc>
          <w:tcPr>
            <w:tcW w:type="dxa" w:w="2500"/>
          </w:tcPr>
          <w:p>
            <w:pPr>
              <w:pStyle w:val="Data"/>
              <w:spacing w:after="20"/>
            </w:pPr>
            <w:r>
              <w:rPr>
                <w:b w:val="0"/>
              </w:rPr>
            </w:r>
            <w:r>
              <w:rPr>
                <w:b w:val="0"/>
              </w:rPr>
              <w:t>1,232.8</w:t>
            </w:r>
          </w:p>
        </w:tc>
        <w:tc>
          <w:tcPr>
            <w:tcW w:type="dxa" w:w="2760"/>
          </w:tcPr>
          <w:p>
            <w:pPr>
              <w:pStyle w:val="Data"/>
              <w:spacing w:after="20"/>
            </w:pPr>
            <w:r>
              <w:rPr>
                <w:b w:val="0"/>
              </w:rPr>
            </w:r>
            <w:r>
              <w:rPr>
                <w:b w:val="0"/>
              </w:rPr>
              <w:t>1,356.0</w:t>
            </w:r>
          </w:p>
        </w:tc>
        <w:tc>
          <w:tcPr>
            <w:tcW w:type="dxa" w:w="2200"/>
          </w:tcPr>
          <w:p>
            <w:pPr>
              <w:pStyle w:val="Data"/>
              <w:spacing w:after="20"/>
            </w:pPr>
            <w:r>
              <w:rPr>
                <w:b w:val="0"/>
              </w:rPr>
            </w:r>
            <w:r>
              <w:rPr>
                <w:b w:val="0"/>
              </w:rPr>
              <w:t>1.10</w:t>
            </w:r>
          </w:p>
        </w:tc>
      </w:tr>
      <w:tr>
        <w:trPr>
          <w:cantSplit/>
        </w:trPr>
        <w:tc>
          <w:tcPr>
            <w:tcW w:type="dxa" w:w="1900"/>
          </w:tcPr>
          <w:p>
            <w:pPr>
              <w:pStyle w:val="Data"/>
              <w:spacing w:after="20"/>
            </w:pPr>
            <w:r>
              <w:rPr>
                <w:b w:val="0"/>
              </w:rPr>
            </w:r>
            <w:r>
              <w:rPr>
                <w:b w:val="0"/>
              </w:rPr>
              <w:t>0.5</w:t>
            </w:r>
          </w:p>
        </w:tc>
        <w:tc>
          <w:tcPr>
            <w:tcW w:type="dxa" w:w="2500"/>
          </w:tcPr>
          <w:p>
            <w:pPr>
              <w:pStyle w:val="Data"/>
              <w:spacing w:after="20"/>
            </w:pPr>
            <w:r>
              <w:rPr>
                <w:b w:val="0"/>
              </w:rPr>
            </w:r>
            <w:r>
              <w:rPr>
                <w:b w:val="0"/>
              </w:rPr>
              <w:t>5,244.3</w:t>
            </w:r>
          </w:p>
        </w:tc>
        <w:tc>
          <w:tcPr>
            <w:tcW w:type="dxa" w:w="2760"/>
          </w:tcPr>
          <w:p>
            <w:pPr>
              <w:pStyle w:val="Data"/>
              <w:spacing w:after="20"/>
            </w:pPr>
            <w:r>
              <w:rPr>
                <w:b w:val="0"/>
              </w:rPr>
            </w:r>
            <w:r>
              <w:rPr>
                <w:b w:val="0"/>
              </w:rPr>
              <w:t>7,866.5</w:t>
            </w:r>
          </w:p>
        </w:tc>
        <w:tc>
          <w:tcPr>
            <w:tcW w:type="dxa" w:w="2200"/>
          </w:tcPr>
          <w:p>
            <w:pPr>
              <w:pStyle w:val="Data"/>
              <w:spacing w:after="20"/>
            </w:pPr>
            <w:r>
              <w:rPr>
                <w:b w:val="0"/>
              </w:rPr>
            </w:r>
            <w:r>
              <w:rPr>
                <w:b w:val="0"/>
              </w:rPr>
              <w:t>1.50</w:t>
            </w:r>
          </w:p>
        </w:tc>
      </w:tr>
      <w:tr>
        <w:trPr>
          <w:cantSplit/>
        </w:trPr>
        <w:tc>
          <w:tcPr>
            <w:tcW w:type="dxa" w:w="1900"/>
          </w:tcPr>
          <w:p>
            <w:pPr>
              <w:pStyle w:val="Data"/>
              <w:spacing w:after="20"/>
            </w:pPr>
            <w:r>
              <w:rPr>
                <w:b w:val="0"/>
              </w:rPr>
            </w:r>
            <w:r>
              <w:rPr>
                <w:b w:val="0"/>
              </w:rPr>
              <w:t>1</w:t>
            </w:r>
          </w:p>
        </w:tc>
        <w:tc>
          <w:tcPr>
            <w:tcW w:type="dxa" w:w="2500"/>
          </w:tcPr>
          <w:p>
            <w:pPr>
              <w:pStyle w:val="Data"/>
              <w:spacing w:after="20"/>
            </w:pPr>
            <w:r>
              <w:rPr>
                <w:b w:val="0"/>
              </w:rPr>
            </w:r>
            <w:r>
              <w:rPr>
                <w:b w:val="0"/>
              </w:rPr>
              <w:t>8,965.2</w:t>
            </w:r>
          </w:p>
        </w:tc>
        <w:tc>
          <w:tcPr>
            <w:tcW w:type="dxa" w:w="2760"/>
          </w:tcPr>
          <w:p>
            <w:pPr>
              <w:pStyle w:val="Data"/>
              <w:spacing w:after="20"/>
            </w:pPr>
            <w:r>
              <w:rPr>
                <w:b w:val="0"/>
              </w:rPr>
            </w:r>
            <w:r>
              <w:rPr>
                <w:b w:val="0"/>
              </w:rPr>
              <w:t>17,930.5</w:t>
            </w:r>
          </w:p>
        </w:tc>
        <w:tc>
          <w:tcPr>
            <w:tcW w:type="dxa" w:w="2200"/>
          </w:tcPr>
          <w:p>
            <w:pPr>
              <w:pStyle w:val="Data"/>
              <w:spacing w:after="20"/>
            </w:pPr>
            <w:r>
              <w:rPr>
                <w:b w:val="0"/>
              </w:rPr>
            </w:r>
            <w:r>
              <w:rPr>
                <w:b w:val="0"/>
              </w:rPr>
              <w:t>2.00</w:t>
            </w:r>
          </w:p>
        </w:tc>
      </w:tr>
    </w:tbl>
    <w:p>
      <w:pPr>
        <w:pStyle w:val="Caption"/>
      </w:pPr>
      <w:r/>
    </w:p>
    <w:p>
      <w:pPr>
        <w:pStyle w:val="Caption"/>
      </w:pPr>
      <w:r>
        <w:t>Table 3. Conditional forecast grid from the fitted coefficient. Values beyond the nearby calibration regime are untested. r is geometric distance, not c₀ times lookback time.</w:t>
      </w:r>
    </w:p>
    <w:p>
      <w:r>
        <w:t>A falsifiable evaluation should preregister the competing transport models, distance range, calibration treatment, sky/group exclusions and prediction metric. Release per-object distances, errors, redshifts, fluxes, bandpasses, selection flags and covariances; preserve frozen parameters and target-free predictions before scoring. Improvement must transfer to that new sample without per-object adjustments. Agreement should include calibrated uncertainty coverage and the independent temporal, angular and spectral tests above, rather than only a reduced average redshift residual.</w:t>
      </w:r>
    </w:p>
    <w:p>
      <w:pPr>
        <w:pStyle w:val="Heading1"/>
      </w:pPr>
      <w:r>
        <w:t>8. Relationship to galaxy rotation</w:t>
      </w:r>
    </w:p>
    <w:p>
      <w:r>
        <w:t>Galaxy rotation is not included as supporting evidence for this redshift mechanism. Exploratory radial acceleration prescriptions can be written using the dimensional scale c²κ, but a free coupling absorbs changes in κ and prevents an independent numerical identification. A radial fit also does not by itself define a single-valued three-dimensional clock field. The evolving optical response derived here concerns photon propagation and has not supplied the gravitational field equation governing stellar orbits. A combined treatment must derive both sectors, conserve energy consistently and predict vertical motion and lensing before the rotation data can be used as evidence of unification.</w:t>
      </w:r>
    </w:p>
    <w:p>
      <w:pPr>
        <w:pStyle w:val="Heading1"/>
      </w:pPr>
      <w:r>
        <w:t>9. Observational extension: signal stretching and spectral shape</w:t>
      </w:r>
    </w:p>
    <w:p>
      <w:r>
        <w:t>This revision distinguishes three evidence levels: reanalysis of released derived measurements, comparison with published summary measurements, and synthetic checks of equations. None is described as an independent raw-data discovery. The original 164-group split has already been inspected; subsequent alternatives fitted to its training subset are exploratory. Photon energy alone, full-signal transport and a positive exponential optical history give final-test RMSE values of 413.47, 412.44 and 411.54 km/s, respectively. Their sub-2 km/s separation does not select a physical history.</w:t>
      </w:r>
    </w:p>
    <w:p>
      <w:r>
        <w:t>DES event widths. We downloaded the g, r, i and z band width products from the authors’ DES-Time-Dilation repository [7]. We retained finite positive uncertainties smaller than the measured widths, matching the published plotting selection, and averaged available bands per event with the authors’ quadrature error prescription. This yields 1,504 unique supernovae. Fitting w=(1+z)^b gives b=1.002877 ± 0.004825 and χ²/(N−1)=1.44143, reproducing the published result. A 400-resample event bootstrap gives a 95% interval of 0.99312–1.01384; shared-reference covariance and systematic errors are not included in that interval.</w:t>
      </w:r>
    </w:p>
    <w:p>
      <w:r>
        <w:t>Separate band fits give b=1.0212 ± 0.0272 (g, 361 measurements), 1.0043 ± 0.0083 (r, 1,380), 0.9876 ± 0.0077 (i, 1,465), and 0.9973 ± 0.0082 (z, 1,381). Events overlap between bands, so these are not four independent confirmations. The event-averaged unweighted width RMSE is 0.1531 for w=1+z and 0.5870 for w=1. The comparison favors stretching within the released measurement pipeline; it cannot distinguish expansion from another mechanism giving the same w(z).</w:t>
      </w:r>
    </w:p>
    <w:p>
      <w:r>
        <w:t>Crucially, these widths use reference curves constructed with an assumed dilation correction. The source paper calls this method partly a consistency check and supplies a separate scatter-minimization test [7]. We have reanalyzed the released widths, not rerun that independent method or reconstructed the photometry. The formal uncertainty must not be extrapolated into a new extreme-significance rejection. The quoted external systematic uncertainty is 0.010 in b. A candidate that changes intrinsic supernova physics requires a new forward analysis.</w:t>
      </w:r>
    </w:p>
    <w:p>
      <w:r>
        <w:t>FIRAS spectral check. We downloaded NASA LAMBDA’s 43-channel monopole product [8]. It contains residuals around a reconstructed 2.725 K blackbody, individual uncertainties and a Galactic template, rather than raw instrument measurements. We fit the released residual column with a temperature perturbation, a y-distortion template and a residual Galactic-template coefficient using diagonal weights. This avoids treating rounded tabulated frequencies and reconstructed intensities as a fresh absolute-temperature calibration.</w:t>
      </w:r>
    </w:p>
    <w:p>
      <w:pPr>
        <w:pStyle w:val="Equation"/>
      </w:pPr>
      <w:r>
        <w:t>ΔIν = Gν (ΔT/T) + Yν y + agal Igal,ν;   Yν = Gν[x coth(x/2) − 4],   x = hν/(kBT).</w:t>
      </w:r>
    </w:p>
    <w:p>
      <w:r>
        <w:t>The fit gives y=(0.093 ± 3.611)×10⁻⁶, ΔT/T=(0.184 ± 3.008)×10⁻⁶, agal=−0.00229 ± 0.03243 and χ²=45.02 for 40 degrees of freedom. Errors are conditional on diagonal weights and the selected nuisance templates. Full channel covariance, calibration and foreground uncertainties are not reconstructed; this calculation does not supersede published FIRAS limits. It finds no significant distortion of the fitted type. A temporal transport law that preserves a Planck spectrum is spectrally degenerate with an ordinary blackbody once the present temperature is chosen. This dataset alone cannot measure κ or the radiation’s origin.</w:t>
      </w:r>
    </w:p>
    <w:p>
      <w:pPr>
        <w:pStyle w:val="Heading1"/>
      </w:pPr>
      <w:r>
        <w:t>10. Screened propagation and conservation in fixed space</w:t>
      </w:r>
    </w:p>
    <w:p>
      <w:r>
        <w:t>A concrete geometric-optics construction addresses the previously unresolved endpoint issue. Let n(x,t)=1+γ(t−tref)f(x), with smooth f=0 at the emitter and detector and f&gt;0 in between. Source and detector therefore retain n=1, while the intervening response evolves. This is a prescribed background; no matter-dependent field equation has yet been shown to generate it. It does not assert that arbitrary screening boundaries cancel no effects.</w:t>
      </w:r>
    </w:p>
    <w:p>
      <w:pPr>
        <w:pStyle w:val="Equation"/>
      </w:pPr>
      <w:r>
        <w:t>dt/dx = n/c₀;   d ln ω/dx = −(∂n/∂t)/c₀ = −γf(x)/c₀.</w:t>
      </w:r>
    </w:p>
    <w:p>
      <w:pPr>
        <w:pStyle w:val="Equation"/>
      </w:pPr>
      <w:r>
        <w:t>ln S = (γ/c₀)∫f(x)dx;   dtarrival/dtemission = exp[(γ/c₀)∫f(x)dx] = S.</w:t>
      </w:r>
    </w:p>
    <w:p>
      <w:r>
        <w:t>The frequency equation follows from the local Hamiltonian ω=c₀|k|/n(x,t); differentiating the ray-arrival equation gives the interval Jacobian. Thus a time-varying interior can redshift and stretch a signal even with equal endpoint response. Static interfaces alone would not do so. For a 100 Mly toy path with f=sin²(πx/R), the active fraction is 1/2. Choosing the local γ to be twice the fitted mean gives S=1.0077614617908. Numerical characteristic integration gives a pulse stretch of 1.0077614617954 and a frequency stretch of 1.0077614617909, agreeing to better than 5×10⁻¹² relatively. These are synthetic consistency results, not astronomical measurements. The pulse offset is dimensionless 10⁻⁴ in units of R/c₀, selected for stable numerics; the Jacobian applies to sufficiently short signals.</w:t>
      </w:r>
    </w:p>
    <w:p>
      <w:r>
        <w:t>This construction leaves a real degeneracy: only γ times the active path fraction is measured by a uniform-distance fit. Smooth screening, negligible reflection, achromaticity and adiabatic evolution are assumptions. Atomic energy levels, interface transmission, polarization and detector calibration require a microscopic treatment. In the earlier unscreened Coulomb interpretation, fixed particle constants with ε∝n give atomic frequencies proportional to n⁻² and can reverse the intended spectroscopic shift. Equal endpoint n avoids that particular endpoint mismatch within the prescribed model, but does not prove a consistent material theory.</w:t>
      </w:r>
    </w:p>
    <w:p>
      <w:r>
        <w:t>Energy conservation is imposed by ∂t uγ+∇·Fγ=−Q and ∂t uχ+∇·Fχ=+Q. A locally thermal present radiation bath at 2.72548 K has ordinary local energy density 4.17×10⁻¹⁴ J/m³ [9]. Coupling all of it at the fitted present fractional rate gives Q≈1.02×10⁻³¹ W/m³. This is an energy-accounting estimate, not a measurement of the field. Its accumulated energy, pressure, backreaction and compatibility with static geometry must be solved. Atomic clock bounds apply to specified dimensionless couplings: if α̇/α=qγ, the measured (1.0 ± 1.1)×10⁻¹⁸ yr⁻¹ implies approximately |q|≲4.1×10⁻⁸ [10]. A common clock rescaling is not constrained this way; ε∝n and c∝1/n can cancel in α.</w:t>
      </w:r>
    </w:p>
    <w:p>
      <w:pPr>
        <w:pStyle w:val="Heading1"/>
      </w:pPr>
      <w:r>
        <w:t>11. Thermal history and directional structure without a Big Bang</w:t>
      </w:r>
    </w:p>
    <w:p>
      <w:r>
        <w:t>No expanding geometry or singular beginning is required as an assumption of this section. In a homogeneous, adiabatically varying optical response, occupation numbers at fixed wave vector can remain conserved while ω∝1/n. A radiation bath that is initially thermal then retains a Planck occupation law with T∝1/n. The changing density of modes gives photon density proportional to n³T³ and energy density proportional to n³T⁴. Consequently photon number in fixed volume stays constant and radiation energy decreases as 1/n. This is preservation of an existing thermal bath, not creation of one or a prediction of today’s 2.725 K temperature.</w:t>
      </w:r>
    </w:p>
    <w:p>
      <w:r>
        <w:t>The conditional relation T(z)=T₀(1+z) gives 20.005 K at z=6.34, within the published 16.4–30.2 K one-standard-deviation interval from water absorption [11]. This is a summary-measurement comparison; the molecular excitation spectra were not refitted. A constant-temperature background does not match that interval under the published excitation model. Changing atomic or molecular physics requires recalculating the inference. The screened spatially varying construction of Section 10 and the homogeneous thermal argument are not yet a combined global solution: paths with unequal histories, mode transport and detector boundaries can alter the measured spectrum.</w:t>
      </w:r>
    </w:p>
    <w:p>
      <w:r>
        <w:t>An earlier thermal equilibrium in fixed space, continuous field-mediated equilibration and a thermalizing finite boundary are separate hypotheses. The first can preserve a thermal initial condition; the others require collision terms, photon creation or absorption, detailed balance and an energy supply. A compact boundary-free space does not thermalize radiation merely by recirculating it. No reservoir capacity, cavity radius or thermalization rate has been inferred from these data. Ordinary absorption must also remain consistent with sharp distant images and transient signals. All variants must eventually reproduce the CMB angular spectrum and polarization, not only its mean temperature.</w:t>
      </w:r>
    </w:p>
    <w:p>
      <w:r>
        <w:t>Treating the quadrupole–octopole alignment as a target, a homogeneous field and a perfectly symmetric sphere select no direction [12]. A prescribed perturbation ΔlnS=A₂P₂(r̂·â)+A₃P₃(r̂·â) creates aligned angular components and gives ΔT/T≈−ΔlnS; an illustrative 10⁻⁵ perturbation corresponds to 27.25 μK. This is a parameterized construction, not a prediction of the observed alignment. An even, antipodally symmetric response alone cannot produce an odd octopole. The field’s source, preferred direction, angular coefficients and covariance must be specified before a meaningful sky-map test. No Planck map fit or topology constraint is claimed in this revision. Fitting these free coefficients to the target pattern would not establish the theory; independent directional redshift or polarization predictions are required.</w:t>
      </w:r>
    </w:p>
    <w:p>
      <w:r>
        <w:t>Reproducibility. The extension archive time_theory_revision_data.zip contains downloaded derived measurements, source URLs and hashes, analysis code, event-level CSV exports, numerical results and the paper-edit script. It also includes the preceding nearby-galaxy exploratory checks. The released DES widths inherit their reference-curve assumptions; the FIRAS table inherits calibration and foreground processing. Neither archive represents an untouched blind experiment.</w:t>
      </w:r>
    </w:p>
    <w:p>
      <w:pPr>
        <w:pStyle w:val="Heading1"/>
      </w:pPr>
      <w:r>
        <w:t>12. Conclusion</w:t>
      </w:r>
    </w:p>
    <w:p>
      <w:r>
        <w:t>The original nearby-galaxy experiment remains inconclusive between the temporal law and its reference. The observational extension supports retaining whole-signal stretching as a required behavior and coherent thermal transport as a conditional spectral mechanism. Neither the DES widths nor the FIRAS monopole identifies the field, determines its energy reservoir or establishes non-expansion. A screened geometric-optics construction provides an explicit source-to-detector consistency result, but a common matter, radiation and gravitational action remains necessary. No Big Bang is assumed here; an earlier equilibrium in fixed space is a possible initial condition, not an inferred thermal origin. Directional CMB structure and galaxy rotation remain unpredicted.</w:t>
      </w:r>
    </w:p>
    <w:p>
      <w:pPr>
        <w:pStyle w:val="Heading1"/>
        <w:pageBreakBefore/>
      </w:pPr>
      <w:r>
        <w:t>Appendix A. Every final-test object</w:t>
      </w:r>
    </w:p>
    <w:p>
      <w:pPr>
        <w:pStyle w:val="Caption"/>
      </w:pPr>
      <w:r>
        <w:t>Distances are the published SBF luminosity-distance inputs. Residual is c(zpred−zobs). The table is rounded for reading; the supplement retains full precision, group IDs, sky positions, split assignments and prediction uncertainties. No final-test object is omitted.</w:t>
      </w:r>
    </w:p>
    <w:tbl>
      <w:tblPr>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color="D4D4D4"/>
          <w:left w:val="single" w:sz="4" w:color="D4D4D4"/>
          <w:bottom w:val="single" w:sz="4" w:color="D4D4D4"/>
          <w:right w:val="single" w:sz="4" w:color="D4D4D4"/>
          <w:insideH w:val="single" w:sz="4" w:color="D4D4D4"/>
          <w:insideV w:val="single" w:sz="4" w:color="D4D4D4"/>
        </w:tblBorders>
      </w:tblPr>
      <w:tblGrid>
        <w:gridCol w:w="1000"/>
        <w:gridCol w:w="1400"/>
        <w:gridCol w:w="1200"/>
        <w:gridCol w:w="1900"/>
        <w:gridCol w:w="1900"/>
        <w:gridCol w:w="1960"/>
      </w:tblGrid>
      <w:tr>
        <w:trPr>
          <w:cantSplit/>
          <w:tblHeader/>
        </w:trPr>
        <w:tc>
          <w:tcPr>
            <w:tcW w:type="dxa" w:w="1000"/>
            <w:shd w:fill="F2F4F7"/>
          </w:tcPr>
          <w:p>
            <w:pPr>
              <w:pStyle w:val="Data"/>
              <w:spacing w:after="20"/>
            </w:pPr>
            <w:r>
              <w:rPr>
                <w:b/>
              </w:rPr>
            </w:r>
            <w:r>
              <w:rPr>
                <w:b/>
              </w:rPr>
              <w:t>PGC</w:t>
            </w:r>
          </w:p>
        </w:tc>
        <w:tc>
          <w:tcPr>
            <w:tcW w:type="dxa" w:w="1400"/>
            <w:shd w:fill="F2F4F7"/>
          </w:tcPr>
          <w:p>
            <w:pPr>
              <w:pStyle w:val="Data"/>
              <w:spacing w:after="20"/>
            </w:pPr>
            <w:r>
              <w:rPr>
                <w:b/>
              </w:rPr>
            </w:r>
            <w:r>
              <w:rPr>
                <w:b/>
              </w:rPr>
            </w:r>
            <w:r>
              <w:rPr>
                <w:b/>
              </w:rPr>
              <w:t>D</w:t>
            </w:r>
            <w:r>
              <w:rPr>
                <w:b/>
                <w:vertAlign w:val="subscript"/>
              </w:rPr>
              <w:t>L</w:t>
            </w:r>
            <w:r>
              <w:rPr>
                <w:b/>
              </w:rPr>
              <w:t xml:space="preserve"> (Mpc)</w:t>
            </w:r>
          </w:p>
        </w:tc>
        <w:tc>
          <w:tcPr>
            <w:tcW w:type="dxa" w:w="1200"/>
            <w:shd w:fill="F2F4F7"/>
          </w:tcPr>
          <w:p>
            <w:pPr>
              <w:pStyle w:val="Data"/>
              <w:spacing w:after="20"/>
            </w:pPr>
            <w:r>
              <w:rPr>
                <w:b/>
              </w:rPr>
            </w:r>
            <w:r>
              <w:rPr>
                <w:b/>
              </w:rPr>
              <w:t>σμ (mag)</w:t>
            </w:r>
          </w:p>
        </w:tc>
        <w:tc>
          <w:tcPr>
            <w:tcW w:type="dxa" w:w="1900"/>
            <w:shd w:fill="F2F4F7"/>
          </w:tcPr>
          <w:p>
            <w:pPr>
              <w:pStyle w:val="Data"/>
              <w:spacing w:after="20"/>
            </w:pPr>
            <w:r>
              <w:rPr>
                <w:b/>
              </w:rPr>
            </w:r>
            <w:r>
              <w:rPr>
                <w:b/>
              </w:rPr>
              <w:t>Predicted z</w:t>
            </w:r>
          </w:p>
        </w:tc>
        <w:tc>
          <w:tcPr>
            <w:tcW w:type="dxa" w:w="1900"/>
            <w:shd w:fill="F2F4F7"/>
          </w:tcPr>
          <w:p>
            <w:pPr>
              <w:pStyle w:val="Data"/>
              <w:spacing w:after="20"/>
            </w:pPr>
            <w:r>
              <w:rPr>
                <w:b/>
              </w:rPr>
            </w:r>
            <w:r>
              <w:rPr>
                <w:b/>
              </w:rPr>
              <w:t>Observed z</w:t>
            </w:r>
          </w:p>
        </w:tc>
        <w:tc>
          <w:tcPr>
            <w:tcW w:type="dxa" w:w="1960"/>
            <w:shd w:fill="F2F4F7"/>
          </w:tcPr>
          <w:p>
            <w:pPr>
              <w:pStyle w:val="Data"/>
              <w:spacing w:after="20"/>
            </w:pPr>
            <w:r>
              <w:rPr>
                <w:b/>
              </w:rPr>
            </w:r>
            <w:r>
              <w:rPr>
                <w:b/>
              </w:rPr>
              <w:t>Residual (km/s)</w:t>
            </w:r>
          </w:p>
        </w:tc>
      </w:tr>
      <w:tr>
        <w:trPr>
          <w:cantSplit/>
        </w:trPr>
        <w:tc>
          <w:tcPr>
            <w:tcW w:type="dxa" w:w="1000"/>
          </w:tcPr>
          <w:p>
            <w:pPr>
              <w:pStyle w:val="Data"/>
              <w:spacing w:after="20"/>
            </w:pPr>
            <w:r>
              <w:rPr>
                <w:b w:val="0"/>
              </w:rPr>
            </w:r>
            <w:r>
              <w:rPr>
                <w:b w:val="0"/>
              </w:rPr>
              <w:t>27765</w:t>
            </w:r>
          </w:p>
        </w:tc>
        <w:tc>
          <w:tcPr>
            <w:tcW w:type="dxa" w:w="1400"/>
          </w:tcPr>
          <w:p>
            <w:pPr>
              <w:pStyle w:val="Data"/>
              <w:spacing w:after="20"/>
            </w:pPr>
            <w:r>
              <w:rPr>
                <w:b w:val="0"/>
              </w:rPr>
            </w:r>
            <w:r>
              <w:rPr>
                <w:b w:val="0"/>
              </w:rPr>
              <w:t>15.517</w:t>
            </w:r>
          </w:p>
        </w:tc>
        <w:tc>
          <w:tcPr>
            <w:tcW w:type="dxa" w:w="1200"/>
          </w:tcPr>
          <w:p>
            <w:pPr>
              <w:pStyle w:val="Data"/>
              <w:spacing w:after="20"/>
            </w:pPr>
            <w:r>
              <w:rPr>
                <w:b w:val="0"/>
              </w:rPr>
            </w:r>
            <w:r>
              <w:rPr>
                <w:b w:val="0"/>
              </w:rPr>
              <w:t>0.270</w:t>
            </w:r>
          </w:p>
        </w:tc>
        <w:tc>
          <w:tcPr>
            <w:tcW w:type="dxa" w:w="1900"/>
          </w:tcPr>
          <w:p>
            <w:pPr>
              <w:pStyle w:val="Data"/>
              <w:spacing w:after="20"/>
            </w:pPr>
            <w:r>
              <w:rPr>
                <w:b w:val="0"/>
              </w:rPr>
            </w:r>
            <w:r>
              <w:rPr>
                <w:b w:val="0"/>
              </w:rPr>
              <w:t>0.0039052</w:t>
            </w:r>
          </w:p>
        </w:tc>
        <w:tc>
          <w:tcPr>
            <w:tcW w:type="dxa" w:w="1900"/>
          </w:tcPr>
          <w:p>
            <w:pPr>
              <w:pStyle w:val="Data"/>
              <w:spacing w:after="20"/>
            </w:pPr>
            <w:r>
              <w:rPr>
                <w:b w:val="0"/>
              </w:rPr>
            </w:r>
            <w:r>
              <w:rPr>
                <w:b w:val="0"/>
              </w:rPr>
              <w:t>0.0049167</w:t>
            </w:r>
          </w:p>
        </w:tc>
        <w:tc>
          <w:tcPr>
            <w:tcW w:type="dxa" w:w="1960"/>
          </w:tcPr>
          <w:p>
            <w:pPr>
              <w:pStyle w:val="Data"/>
              <w:spacing w:after="20"/>
            </w:pPr>
            <w:r>
              <w:rPr>
                <w:b w:val="0"/>
              </w:rPr>
            </w:r>
            <w:r>
              <w:rPr>
                <w:b w:val="0"/>
              </w:rPr>
              <w:t>-303.3</w:t>
            </w:r>
          </w:p>
        </w:tc>
      </w:tr>
      <w:tr>
        <w:trPr>
          <w:cantSplit/>
        </w:trPr>
        <w:tc>
          <w:tcPr>
            <w:tcW w:type="dxa" w:w="1000"/>
          </w:tcPr>
          <w:p>
            <w:pPr>
              <w:pStyle w:val="Data"/>
              <w:spacing w:after="20"/>
            </w:pPr>
            <w:r>
              <w:rPr>
                <w:b w:val="0"/>
              </w:rPr>
            </w:r>
            <w:r>
              <w:rPr>
                <w:b w:val="0"/>
              </w:rPr>
              <w:t>53201</w:t>
            </w:r>
          </w:p>
        </w:tc>
        <w:tc>
          <w:tcPr>
            <w:tcW w:type="dxa" w:w="1400"/>
          </w:tcPr>
          <w:p>
            <w:pPr>
              <w:pStyle w:val="Data"/>
              <w:spacing w:after="20"/>
            </w:pPr>
            <w:r>
              <w:rPr>
                <w:b w:val="0"/>
              </w:rPr>
            </w:r>
            <w:r>
              <w:rPr>
                <w:b w:val="0"/>
              </w:rPr>
              <w:t>19.534</w:t>
            </w:r>
          </w:p>
        </w:tc>
        <w:tc>
          <w:tcPr>
            <w:tcW w:type="dxa" w:w="1200"/>
          </w:tcPr>
          <w:p>
            <w:pPr>
              <w:pStyle w:val="Data"/>
              <w:spacing w:after="20"/>
            </w:pPr>
            <w:r>
              <w:rPr>
                <w:b w:val="0"/>
              </w:rPr>
            </w:r>
            <w:r>
              <w:rPr>
                <w:b w:val="0"/>
              </w:rPr>
              <w:t>0.290</w:t>
            </w:r>
          </w:p>
        </w:tc>
        <w:tc>
          <w:tcPr>
            <w:tcW w:type="dxa" w:w="1900"/>
          </w:tcPr>
          <w:p>
            <w:pPr>
              <w:pStyle w:val="Data"/>
              <w:spacing w:after="20"/>
            </w:pPr>
            <w:r>
              <w:rPr>
                <w:b w:val="0"/>
              </w:rPr>
            </w:r>
            <w:r>
              <w:rPr>
                <w:b w:val="0"/>
              </w:rPr>
              <w:t>0.0049139</w:t>
            </w:r>
          </w:p>
        </w:tc>
        <w:tc>
          <w:tcPr>
            <w:tcW w:type="dxa" w:w="1900"/>
          </w:tcPr>
          <w:p>
            <w:pPr>
              <w:pStyle w:val="Data"/>
              <w:spacing w:after="20"/>
            </w:pPr>
            <w:r>
              <w:rPr>
                <w:b w:val="0"/>
              </w:rPr>
            </w:r>
            <w:r>
              <w:rPr>
                <w:b w:val="0"/>
              </w:rPr>
              <w:t>0.0056606</w:t>
            </w:r>
          </w:p>
        </w:tc>
        <w:tc>
          <w:tcPr>
            <w:tcW w:type="dxa" w:w="1960"/>
          </w:tcPr>
          <w:p>
            <w:pPr>
              <w:pStyle w:val="Data"/>
              <w:spacing w:after="20"/>
            </w:pPr>
            <w:r>
              <w:rPr>
                <w:b w:val="0"/>
              </w:rPr>
            </w:r>
            <w:r>
              <w:rPr>
                <w:b w:val="0"/>
              </w:rPr>
              <w:t>-223.9</w:t>
            </w:r>
          </w:p>
        </w:tc>
      </w:tr>
      <w:tr>
        <w:trPr>
          <w:cantSplit/>
        </w:trPr>
        <w:tc>
          <w:tcPr>
            <w:tcW w:type="dxa" w:w="1000"/>
          </w:tcPr>
          <w:p>
            <w:pPr>
              <w:pStyle w:val="Data"/>
              <w:spacing w:after="20"/>
            </w:pPr>
            <w:r>
              <w:rPr>
                <w:b w:val="0"/>
              </w:rPr>
            </w:r>
            <w:r>
              <w:rPr>
                <w:b w:val="0"/>
              </w:rPr>
              <w:t>69342</w:t>
            </w:r>
          </w:p>
        </w:tc>
        <w:tc>
          <w:tcPr>
            <w:tcW w:type="dxa" w:w="1400"/>
          </w:tcPr>
          <w:p>
            <w:pPr>
              <w:pStyle w:val="Data"/>
              <w:spacing w:after="20"/>
            </w:pPr>
            <w:r>
              <w:rPr>
                <w:b w:val="0"/>
              </w:rPr>
            </w:r>
            <w:r>
              <w:rPr>
                <w:b w:val="0"/>
              </w:rPr>
              <w:t>21.817</w:t>
            </w:r>
          </w:p>
        </w:tc>
        <w:tc>
          <w:tcPr>
            <w:tcW w:type="dxa" w:w="1200"/>
          </w:tcPr>
          <w:p>
            <w:pPr>
              <w:pStyle w:val="Data"/>
              <w:spacing w:after="20"/>
            </w:pPr>
            <w:r>
              <w:rPr>
                <w:b w:val="0"/>
              </w:rPr>
            </w:r>
            <w:r>
              <w:rPr>
                <w:b w:val="0"/>
              </w:rPr>
              <w:t>0.200</w:t>
            </w:r>
          </w:p>
        </w:tc>
        <w:tc>
          <w:tcPr>
            <w:tcW w:type="dxa" w:w="1900"/>
          </w:tcPr>
          <w:p>
            <w:pPr>
              <w:pStyle w:val="Data"/>
              <w:spacing w:after="20"/>
            </w:pPr>
            <w:r>
              <w:rPr>
                <w:b w:val="0"/>
              </w:rPr>
            </w:r>
            <w:r>
              <w:rPr>
                <w:b w:val="0"/>
              </w:rPr>
              <w:t>0.0054866</w:t>
            </w:r>
          </w:p>
        </w:tc>
        <w:tc>
          <w:tcPr>
            <w:tcW w:type="dxa" w:w="1900"/>
          </w:tcPr>
          <w:p>
            <w:pPr>
              <w:pStyle w:val="Data"/>
              <w:spacing w:after="20"/>
            </w:pPr>
            <w:r>
              <w:rPr>
                <w:b w:val="0"/>
              </w:rPr>
            </w:r>
            <w:r>
              <w:rPr>
                <w:b w:val="0"/>
              </w:rPr>
              <w:t>0.0027352</w:t>
            </w:r>
          </w:p>
        </w:tc>
        <w:tc>
          <w:tcPr>
            <w:tcW w:type="dxa" w:w="1960"/>
          </w:tcPr>
          <w:p>
            <w:pPr>
              <w:pStyle w:val="Data"/>
              <w:spacing w:after="20"/>
            </w:pPr>
            <w:r>
              <w:rPr>
                <w:b w:val="0"/>
              </w:rPr>
            </w:r>
            <w:r>
              <w:rPr>
                <w:b w:val="0"/>
              </w:rPr>
              <w:t>+824.8</w:t>
            </w:r>
          </w:p>
        </w:tc>
      </w:tr>
      <w:tr>
        <w:trPr>
          <w:cantSplit/>
        </w:trPr>
        <w:tc>
          <w:tcPr>
            <w:tcW w:type="dxa" w:w="1000"/>
          </w:tcPr>
          <w:p>
            <w:pPr>
              <w:pStyle w:val="Data"/>
              <w:spacing w:after="20"/>
            </w:pPr>
            <w:r>
              <w:rPr>
                <w:b w:val="0"/>
              </w:rPr>
            </w:r>
            <w:r>
              <w:rPr>
                <w:b w:val="0"/>
              </w:rPr>
              <w:t>5766</w:t>
            </w:r>
          </w:p>
        </w:tc>
        <w:tc>
          <w:tcPr>
            <w:tcW w:type="dxa" w:w="1400"/>
          </w:tcPr>
          <w:p>
            <w:pPr>
              <w:pStyle w:val="Data"/>
              <w:spacing w:after="20"/>
            </w:pPr>
            <w:r>
              <w:rPr>
                <w:b w:val="0"/>
              </w:rPr>
            </w:r>
            <w:r>
              <w:rPr>
                <w:b w:val="0"/>
              </w:rPr>
              <w:t>22.019</w:t>
            </w:r>
          </w:p>
        </w:tc>
        <w:tc>
          <w:tcPr>
            <w:tcW w:type="dxa" w:w="1200"/>
          </w:tcPr>
          <w:p>
            <w:pPr>
              <w:pStyle w:val="Data"/>
              <w:spacing w:after="20"/>
            </w:pPr>
            <w:r>
              <w:rPr>
                <w:b w:val="0"/>
              </w:rPr>
            </w:r>
            <w:r>
              <w:rPr>
                <w:b w:val="0"/>
              </w:rPr>
              <w:t>0.100</w:t>
            </w:r>
          </w:p>
        </w:tc>
        <w:tc>
          <w:tcPr>
            <w:tcW w:type="dxa" w:w="1900"/>
          </w:tcPr>
          <w:p>
            <w:pPr>
              <w:pStyle w:val="Data"/>
              <w:spacing w:after="20"/>
            </w:pPr>
            <w:r>
              <w:rPr>
                <w:b w:val="0"/>
              </w:rPr>
            </w:r>
            <w:r>
              <w:rPr>
                <w:b w:val="0"/>
              </w:rPr>
              <w:t>0.0055372</w:t>
            </w:r>
          </w:p>
        </w:tc>
        <w:tc>
          <w:tcPr>
            <w:tcW w:type="dxa" w:w="1900"/>
          </w:tcPr>
          <w:p>
            <w:pPr>
              <w:pStyle w:val="Data"/>
              <w:spacing w:after="20"/>
            </w:pPr>
            <w:r>
              <w:rPr>
                <w:b w:val="0"/>
              </w:rPr>
            </w:r>
            <w:r>
              <w:rPr>
                <w:b w:val="0"/>
              </w:rPr>
              <w:t>0.0052636</w:t>
            </w:r>
          </w:p>
        </w:tc>
        <w:tc>
          <w:tcPr>
            <w:tcW w:type="dxa" w:w="1960"/>
          </w:tcPr>
          <w:p>
            <w:pPr>
              <w:pStyle w:val="Data"/>
              <w:spacing w:after="20"/>
            </w:pPr>
            <w:r>
              <w:rPr>
                <w:b w:val="0"/>
              </w:rPr>
            </w:r>
            <w:r>
              <w:rPr>
                <w:b w:val="0"/>
              </w:rPr>
              <w:t>+82.0</w:t>
            </w:r>
          </w:p>
        </w:tc>
      </w:tr>
      <w:tr>
        <w:trPr>
          <w:cantSplit/>
        </w:trPr>
        <w:tc>
          <w:tcPr>
            <w:tcW w:type="dxa" w:w="1000"/>
          </w:tcPr>
          <w:p>
            <w:pPr>
              <w:pStyle w:val="Data"/>
              <w:spacing w:after="20"/>
            </w:pPr>
            <w:r>
              <w:rPr>
                <w:b w:val="0"/>
              </w:rPr>
            </w:r>
            <w:r>
              <w:rPr>
                <w:b w:val="0"/>
              </w:rPr>
              <w:t>26939</w:t>
            </w:r>
          </w:p>
        </w:tc>
        <w:tc>
          <w:tcPr>
            <w:tcW w:type="dxa" w:w="1400"/>
          </w:tcPr>
          <w:p>
            <w:pPr>
              <w:pStyle w:val="Data"/>
              <w:spacing w:after="20"/>
            </w:pPr>
            <w:r>
              <w:rPr>
                <w:b w:val="0"/>
              </w:rPr>
            </w:r>
            <w:r>
              <w:rPr>
                <w:b w:val="0"/>
              </w:rPr>
              <w:t>22.121</w:t>
            </w:r>
          </w:p>
        </w:tc>
        <w:tc>
          <w:tcPr>
            <w:tcW w:type="dxa" w:w="1200"/>
          </w:tcPr>
          <w:p>
            <w:pPr>
              <w:pStyle w:val="Data"/>
              <w:spacing w:after="20"/>
            </w:pPr>
            <w:r>
              <w:rPr>
                <w:b w:val="0"/>
              </w:rPr>
            </w:r>
            <w:r>
              <w:rPr>
                <w:b w:val="0"/>
              </w:rPr>
              <w:t>0.210</w:t>
            </w:r>
          </w:p>
        </w:tc>
        <w:tc>
          <w:tcPr>
            <w:tcW w:type="dxa" w:w="1900"/>
          </w:tcPr>
          <w:p>
            <w:pPr>
              <w:pStyle w:val="Data"/>
              <w:spacing w:after="20"/>
            </w:pPr>
            <w:r>
              <w:rPr>
                <w:b w:val="0"/>
              </w:rPr>
            </w:r>
            <w:r>
              <w:rPr>
                <w:b w:val="0"/>
              </w:rPr>
              <w:t>0.0055627</w:t>
            </w:r>
          </w:p>
        </w:tc>
        <w:tc>
          <w:tcPr>
            <w:tcW w:type="dxa" w:w="1900"/>
          </w:tcPr>
          <w:p>
            <w:pPr>
              <w:pStyle w:val="Data"/>
              <w:spacing w:after="20"/>
            </w:pPr>
            <w:r>
              <w:rPr>
                <w:b w:val="0"/>
              </w:rPr>
            </w:r>
            <w:r>
              <w:rPr>
                <w:b w:val="0"/>
              </w:rPr>
              <w:t>0.0057406</w:t>
            </w:r>
          </w:p>
        </w:tc>
        <w:tc>
          <w:tcPr>
            <w:tcW w:type="dxa" w:w="1960"/>
          </w:tcPr>
          <w:p>
            <w:pPr>
              <w:pStyle w:val="Data"/>
              <w:spacing w:after="20"/>
            </w:pPr>
            <w:r>
              <w:rPr>
                <w:b w:val="0"/>
              </w:rPr>
            </w:r>
            <w:r>
              <w:rPr>
                <w:b w:val="0"/>
              </w:rPr>
              <w:t>-53.3</w:t>
            </w:r>
          </w:p>
        </w:tc>
      </w:tr>
      <w:tr>
        <w:trPr>
          <w:cantSplit/>
        </w:trPr>
        <w:tc>
          <w:tcPr>
            <w:tcW w:type="dxa" w:w="1000"/>
          </w:tcPr>
          <w:p>
            <w:pPr>
              <w:pStyle w:val="Data"/>
              <w:spacing w:after="20"/>
            </w:pPr>
            <w:r>
              <w:rPr>
                <w:b w:val="0"/>
              </w:rPr>
            </w:r>
            <w:r>
              <w:rPr>
                <w:b w:val="0"/>
              </w:rPr>
              <w:t>25915</w:t>
            </w:r>
          </w:p>
        </w:tc>
        <w:tc>
          <w:tcPr>
            <w:tcW w:type="dxa" w:w="1400"/>
          </w:tcPr>
          <w:p>
            <w:pPr>
              <w:pStyle w:val="Data"/>
              <w:spacing w:after="20"/>
            </w:pPr>
            <w:r>
              <w:rPr>
                <w:b w:val="0"/>
              </w:rPr>
            </w:r>
            <w:r>
              <w:rPr>
                <w:b w:val="0"/>
              </w:rPr>
              <w:t>22.532</w:t>
            </w:r>
          </w:p>
        </w:tc>
        <w:tc>
          <w:tcPr>
            <w:tcW w:type="dxa" w:w="1200"/>
          </w:tcPr>
          <w:p>
            <w:pPr>
              <w:pStyle w:val="Data"/>
              <w:spacing w:after="20"/>
            </w:pPr>
            <w:r>
              <w:rPr>
                <w:b w:val="0"/>
              </w:rPr>
            </w:r>
            <w:r>
              <w:rPr>
                <w:b w:val="0"/>
              </w:rPr>
              <w:t>0.240</w:t>
            </w:r>
          </w:p>
        </w:tc>
        <w:tc>
          <w:tcPr>
            <w:tcW w:type="dxa" w:w="1900"/>
          </w:tcPr>
          <w:p>
            <w:pPr>
              <w:pStyle w:val="Data"/>
              <w:spacing w:after="20"/>
            </w:pPr>
            <w:r>
              <w:rPr>
                <w:b w:val="0"/>
              </w:rPr>
            </w:r>
            <w:r>
              <w:rPr>
                <w:b w:val="0"/>
              </w:rPr>
              <w:t>0.0056658</w:t>
            </w:r>
          </w:p>
        </w:tc>
        <w:tc>
          <w:tcPr>
            <w:tcW w:type="dxa" w:w="1900"/>
          </w:tcPr>
          <w:p>
            <w:pPr>
              <w:pStyle w:val="Data"/>
              <w:spacing w:after="20"/>
            </w:pPr>
            <w:r>
              <w:rPr>
                <w:b w:val="0"/>
              </w:rPr>
            </w:r>
            <w:r>
              <w:rPr>
                <w:b w:val="0"/>
              </w:rPr>
              <w:t>0.0049768</w:t>
            </w:r>
          </w:p>
        </w:tc>
        <w:tc>
          <w:tcPr>
            <w:tcW w:type="dxa" w:w="1960"/>
          </w:tcPr>
          <w:p>
            <w:pPr>
              <w:pStyle w:val="Data"/>
              <w:spacing w:after="20"/>
            </w:pPr>
            <w:r>
              <w:rPr>
                <w:b w:val="0"/>
              </w:rPr>
            </w:r>
            <w:r>
              <w:rPr>
                <w:b w:val="0"/>
              </w:rPr>
              <w:t>+206.6</w:t>
            </w:r>
          </w:p>
        </w:tc>
      </w:tr>
      <w:tr>
        <w:trPr>
          <w:cantSplit/>
        </w:trPr>
        <w:tc>
          <w:tcPr>
            <w:tcW w:type="dxa" w:w="1000"/>
          </w:tcPr>
          <w:p>
            <w:pPr>
              <w:pStyle w:val="Data"/>
              <w:spacing w:after="20"/>
            </w:pPr>
            <w:r>
              <w:rPr>
                <w:b w:val="0"/>
              </w:rPr>
            </w:r>
            <w:r>
              <w:rPr>
                <w:b w:val="0"/>
              </w:rPr>
              <w:t>25955</w:t>
            </w:r>
          </w:p>
        </w:tc>
        <w:tc>
          <w:tcPr>
            <w:tcW w:type="dxa" w:w="1400"/>
          </w:tcPr>
          <w:p>
            <w:pPr>
              <w:pStyle w:val="Data"/>
              <w:spacing w:after="20"/>
            </w:pPr>
            <w:r>
              <w:rPr>
                <w:b w:val="0"/>
              </w:rPr>
            </w:r>
            <w:r>
              <w:rPr>
                <w:b w:val="0"/>
              </w:rPr>
              <w:t>23.594</w:t>
            </w:r>
          </w:p>
        </w:tc>
        <w:tc>
          <w:tcPr>
            <w:tcW w:type="dxa" w:w="1200"/>
          </w:tcPr>
          <w:p>
            <w:pPr>
              <w:pStyle w:val="Data"/>
              <w:spacing w:after="20"/>
            </w:pPr>
            <w:r>
              <w:rPr>
                <w:b w:val="0"/>
              </w:rPr>
            </w:r>
            <w:r>
              <w:rPr>
                <w:b w:val="0"/>
              </w:rPr>
              <w:t>0.300</w:t>
            </w:r>
          </w:p>
        </w:tc>
        <w:tc>
          <w:tcPr>
            <w:tcW w:type="dxa" w:w="1900"/>
          </w:tcPr>
          <w:p>
            <w:pPr>
              <w:pStyle w:val="Data"/>
              <w:spacing w:after="20"/>
            </w:pPr>
            <w:r>
              <w:rPr>
                <w:b w:val="0"/>
              </w:rPr>
            </w:r>
            <w:r>
              <w:rPr>
                <w:b w:val="0"/>
              </w:rPr>
              <w:t>0.0059321</w:t>
            </w:r>
          </w:p>
        </w:tc>
        <w:tc>
          <w:tcPr>
            <w:tcW w:type="dxa" w:w="1900"/>
          </w:tcPr>
          <w:p>
            <w:pPr>
              <w:pStyle w:val="Data"/>
              <w:spacing w:after="20"/>
            </w:pPr>
            <w:r>
              <w:rPr>
                <w:b w:val="0"/>
              </w:rPr>
            </w:r>
            <w:r>
              <w:rPr>
                <w:b w:val="0"/>
              </w:rPr>
              <w:t>0.0076186</w:t>
            </w:r>
          </w:p>
        </w:tc>
        <w:tc>
          <w:tcPr>
            <w:tcW w:type="dxa" w:w="1960"/>
          </w:tcPr>
          <w:p>
            <w:pPr>
              <w:pStyle w:val="Data"/>
              <w:spacing w:after="20"/>
            </w:pPr>
            <w:r>
              <w:rPr>
                <w:b w:val="0"/>
              </w:rPr>
            </w:r>
            <w:r>
              <w:rPr>
                <w:b w:val="0"/>
              </w:rPr>
              <w:t>-505.6</w:t>
            </w:r>
          </w:p>
        </w:tc>
      </w:tr>
      <w:tr>
        <w:trPr>
          <w:cantSplit/>
        </w:trPr>
        <w:tc>
          <w:tcPr>
            <w:tcW w:type="dxa" w:w="1000"/>
          </w:tcPr>
          <w:p>
            <w:pPr>
              <w:pStyle w:val="Data"/>
              <w:spacing w:after="20"/>
            </w:pPr>
            <w:r>
              <w:rPr>
                <w:b w:val="0"/>
              </w:rPr>
            </w:r>
            <w:r>
              <w:rPr>
                <w:b w:val="0"/>
              </w:rPr>
              <w:t>68870</w:t>
            </w:r>
          </w:p>
        </w:tc>
        <w:tc>
          <w:tcPr>
            <w:tcW w:type="dxa" w:w="1400"/>
          </w:tcPr>
          <w:p>
            <w:pPr>
              <w:pStyle w:val="Data"/>
              <w:spacing w:after="20"/>
            </w:pPr>
            <w:r>
              <w:rPr>
                <w:b w:val="0"/>
              </w:rPr>
            </w:r>
            <w:r>
              <w:rPr>
                <w:b w:val="0"/>
              </w:rPr>
              <w:t>24.706</w:t>
            </w:r>
          </w:p>
        </w:tc>
        <w:tc>
          <w:tcPr>
            <w:tcW w:type="dxa" w:w="1200"/>
          </w:tcPr>
          <w:p>
            <w:pPr>
              <w:pStyle w:val="Data"/>
              <w:spacing w:after="20"/>
            </w:pPr>
            <w:r>
              <w:rPr>
                <w:b w:val="0"/>
              </w:rPr>
            </w:r>
            <w:r>
              <w:rPr>
                <w:b w:val="0"/>
              </w:rPr>
              <w:t>0.220</w:t>
            </w:r>
          </w:p>
        </w:tc>
        <w:tc>
          <w:tcPr>
            <w:tcW w:type="dxa" w:w="1900"/>
          </w:tcPr>
          <w:p>
            <w:pPr>
              <w:pStyle w:val="Data"/>
              <w:spacing w:after="20"/>
            </w:pPr>
            <w:r>
              <w:rPr>
                <w:b w:val="0"/>
              </w:rPr>
            </w:r>
            <w:r>
              <w:rPr>
                <w:b w:val="0"/>
              </w:rPr>
              <w:t>0.0062108</w:t>
            </w:r>
          </w:p>
        </w:tc>
        <w:tc>
          <w:tcPr>
            <w:tcW w:type="dxa" w:w="1900"/>
          </w:tcPr>
          <w:p>
            <w:pPr>
              <w:pStyle w:val="Data"/>
              <w:spacing w:after="20"/>
            </w:pPr>
            <w:r>
              <w:rPr>
                <w:b w:val="0"/>
              </w:rPr>
            </w:r>
            <w:r>
              <w:rPr>
                <w:b w:val="0"/>
              </w:rPr>
              <w:t>0.0049501</w:t>
            </w:r>
          </w:p>
        </w:tc>
        <w:tc>
          <w:tcPr>
            <w:tcW w:type="dxa" w:w="1960"/>
          </w:tcPr>
          <w:p>
            <w:pPr>
              <w:pStyle w:val="Data"/>
              <w:spacing w:after="20"/>
            </w:pPr>
            <w:r>
              <w:rPr>
                <w:b w:val="0"/>
              </w:rPr>
            </w:r>
            <w:r>
              <w:rPr>
                <w:b w:val="0"/>
              </w:rPr>
              <w:t>+377.9</w:t>
            </w:r>
          </w:p>
        </w:tc>
      </w:tr>
      <w:tr>
        <w:trPr>
          <w:cantSplit/>
        </w:trPr>
        <w:tc>
          <w:tcPr>
            <w:tcW w:type="dxa" w:w="1000"/>
          </w:tcPr>
          <w:p>
            <w:pPr>
              <w:pStyle w:val="Data"/>
              <w:spacing w:after="20"/>
            </w:pPr>
            <w:r>
              <w:rPr>
                <w:b w:val="0"/>
              </w:rPr>
            </w:r>
            <w:r>
              <w:rPr>
                <w:b w:val="0"/>
              </w:rPr>
              <w:t>51275</w:t>
            </w:r>
          </w:p>
        </w:tc>
        <w:tc>
          <w:tcPr>
            <w:tcW w:type="dxa" w:w="1400"/>
          </w:tcPr>
          <w:p>
            <w:pPr>
              <w:pStyle w:val="Data"/>
              <w:spacing w:after="20"/>
            </w:pPr>
            <w:r>
              <w:rPr>
                <w:b w:val="0"/>
              </w:rPr>
            </w:r>
            <w:r>
              <w:rPr>
                <w:b w:val="0"/>
              </w:rPr>
              <w:t>25.870</w:t>
            </w:r>
          </w:p>
        </w:tc>
        <w:tc>
          <w:tcPr>
            <w:tcW w:type="dxa" w:w="1200"/>
          </w:tcPr>
          <w:p>
            <w:pPr>
              <w:pStyle w:val="Data"/>
              <w:spacing w:after="20"/>
            </w:pPr>
            <w:r>
              <w:rPr>
                <w:b w:val="0"/>
              </w:rPr>
            </w:r>
            <w:r>
              <w:rPr>
                <w:b w:val="0"/>
              </w:rPr>
              <w:t>0.140</w:t>
            </w:r>
          </w:p>
        </w:tc>
        <w:tc>
          <w:tcPr>
            <w:tcW w:type="dxa" w:w="1900"/>
          </w:tcPr>
          <w:p>
            <w:pPr>
              <w:pStyle w:val="Data"/>
              <w:spacing w:after="20"/>
            </w:pPr>
            <w:r>
              <w:rPr>
                <w:b w:val="0"/>
              </w:rPr>
            </w:r>
            <w:r>
              <w:rPr>
                <w:b w:val="0"/>
              </w:rPr>
              <w:t>0.0065025</w:t>
            </w:r>
          </w:p>
        </w:tc>
        <w:tc>
          <w:tcPr>
            <w:tcW w:type="dxa" w:w="1900"/>
          </w:tcPr>
          <w:p>
            <w:pPr>
              <w:pStyle w:val="Data"/>
              <w:spacing w:after="20"/>
            </w:pPr>
            <w:r>
              <w:rPr>
                <w:b w:val="0"/>
              </w:rPr>
            </w:r>
            <w:r>
              <w:rPr>
                <w:b w:val="0"/>
              </w:rPr>
              <w:t>0.0057807</w:t>
            </w:r>
          </w:p>
        </w:tc>
        <w:tc>
          <w:tcPr>
            <w:tcW w:type="dxa" w:w="1960"/>
          </w:tcPr>
          <w:p>
            <w:pPr>
              <w:pStyle w:val="Data"/>
              <w:spacing w:after="20"/>
            </w:pPr>
            <w:r>
              <w:rPr>
                <w:b w:val="0"/>
              </w:rPr>
            </w:r>
            <w:r>
              <w:rPr>
                <w:b w:val="0"/>
              </w:rPr>
              <w:t>+216.4</w:t>
            </w:r>
          </w:p>
        </w:tc>
      </w:tr>
      <w:tr>
        <w:trPr>
          <w:cantSplit/>
        </w:trPr>
        <w:tc>
          <w:tcPr>
            <w:tcW w:type="dxa" w:w="1000"/>
          </w:tcPr>
          <w:p>
            <w:pPr>
              <w:pStyle w:val="Data"/>
              <w:spacing w:after="20"/>
            </w:pPr>
            <w:r>
              <w:rPr>
                <w:b w:val="0"/>
              </w:rPr>
            </w:r>
            <w:r>
              <w:rPr>
                <w:b w:val="0"/>
              </w:rPr>
              <w:t>20047</w:t>
            </w:r>
          </w:p>
        </w:tc>
        <w:tc>
          <w:tcPr>
            <w:tcW w:type="dxa" w:w="1400"/>
          </w:tcPr>
          <w:p>
            <w:pPr>
              <w:pStyle w:val="Data"/>
              <w:spacing w:after="20"/>
            </w:pPr>
            <w:r>
              <w:rPr>
                <w:b w:val="0"/>
              </w:rPr>
            </w:r>
            <w:r>
              <w:rPr>
                <w:b w:val="0"/>
              </w:rPr>
              <w:t>26.230</w:t>
            </w:r>
          </w:p>
        </w:tc>
        <w:tc>
          <w:tcPr>
            <w:tcW w:type="dxa" w:w="1200"/>
          </w:tcPr>
          <w:p>
            <w:pPr>
              <w:pStyle w:val="Data"/>
              <w:spacing w:after="20"/>
            </w:pPr>
            <w:r>
              <w:rPr>
                <w:b w:val="0"/>
              </w:rPr>
            </w:r>
            <w:r>
              <w:rPr>
                <w:b w:val="0"/>
              </w:rPr>
              <w:t>0.160</w:t>
            </w:r>
          </w:p>
        </w:tc>
        <w:tc>
          <w:tcPr>
            <w:tcW w:type="dxa" w:w="1900"/>
          </w:tcPr>
          <w:p>
            <w:pPr>
              <w:pStyle w:val="Data"/>
              <w:spacing w:after="20"/>
            </w:pPr>
            <w:r>
              <w:rPr>
                <w:b w:val="0"/>
              </w:rPr>
            </w:r>
            <w:r>
              <w:rPr>
                <w:b w:val="0"/>
              </w:rPr>
              <w:t>0.0065927</w:t>
            </w:r>
          </w:p>
        </w:tc>
        <w:tc>
          <w:tcPr>
            <w:tcW w:type="dxa" w:w="1900"/>
          </w:tcPr>
          <w:p>
            <w:pPr>
              <w:pStyle w:val="Data"/>
              <w:spacing w:after="20"/>
            </w:pPr>
            <w:r>
              <w:rPr>
                <w:b w:val="0"/>
              </w:rPr>
            </w:r>
            <w:r>
              <w:rPr>
                <w:b w:val="0"/>
              </w:rPr>
              <w:t>0.0078588</w:t>
            </w:r>
          </w:p>
        </w:tc>
        <w:tc>
          <w:tcPr>
            <w:tcW w:type="dxa" w:w="1960"/>
          </w:tcPr>
          <w:p>
            <w:pPr>
              <w:pStyle w:val="Data"/>
              <w:spacing w:after="20"/>
            </w:pPr>
            <w:r>
              <w:rPr>
                <w:b w:val="0"/>
              </w:rPr>
            </w:r>
            <w:r>
              <w:rPr>
                <w:b w:val="0"/>
              </w:rPr>
              <w:t>-379.6</w:t>
            </w:r>
          </w:p>
        </w:tc>
      </w:tr>
      <w:tr>
        <w:trPr>
          <w:cantSplit/>
        </w:trPr>
        <w:tc>
          <w:tcPr>
            <w:tcW w:type="dxa" w:w="1000"/>
          </w:tcPr>
          <w:p>
            <w:pPr>
              <w:pStyle w:val="Data"/>
              <w:spacing w:after="20"/>
            </w:pPr>
            <w:r>
              <w:rPr>
                <w:b w:val="0"/>
              </w:rPr>
            </w:r>
            <w:r>
              <w:rPr>
                <w:b w:val="0"/>
              </w:rPr>
              <w:t>51787</w:t>
            </w:r>
          </w:p>
        </w:tc>
        <w:tc>
          <w:tcPr>
            <w:tcW w:type="dxa" w:w="1400"/>
          </w:tcPr>
          <w:p>
            <w:pPr>
              <w:pStyle w:val="Data"/>
              <w:spacing w:after="20"/>
            </w:pPr>
            <w:r>
              <w:rPr>
                <w:b w:val="0"/>
              </w:rPr>
            </w:r>
            <w:r>
              <w:rPr>
                <w:b w:val="0"/>
              </w:rPr>
              <w:t>26.965</w:t>
            </w:r>
          </w:p>
        </w:tc>
        <w:tc>
          <w:tcPr>
            <w:tcW w:type="dxa" w:w="1200"/>
          </w:tcPr>
          <w:p>
            <w:pPr>
              <w:pStyle w:val="Data"/>
              <w:spacing w:after="20"/>
            </w:pPr>
            <w:r>
              <w:rPr>
                <w:b w:val="0"/>
              </w:rPr>
            </w:r>
            <w:r>
              <w:rPr>
                <w:b w:val="0"/>
              </w:rPr>
              <w:t>0.240</w:t>
            </w:r>
          </w:p>
        </w:tc>
        <w:tc>
          <w:tcPr>
            <w:tcW w:type="dxa" w:w="1900"/>
          </w:tcPr>
          <w:p>
            <w:pPr>
              <w:pStyle w:val="Data"/>
              <w:spacing w:after="20"/>
            </w:pPr>
            <w:r>
              <w:rPr>
                <w:b w:val="0"/>
              </w:rPr>
            </w:r>
            <w:r>
              <w:rPr>
                <w:b w:val="0"/>
              </w:rPr>
              <w:t>0.0067768</w:t>
            </w:r>
          </w:p>
        </w:tc>
        <w:tc>
          <w:tcPr>
            <w:tcW w:type="dxa" w:w="1900"/>
          </w:tcPr>
          <w:p>
            <w:pPr>
              <w:pStyle w:val="Data"/>
              <w:spacing w:after="20"/>
            </w:pPr>
            <w:r>
              <w:rPr>
                <w:b w:val="0"/>
              </w:rPr>
            </w:r>
            <w:r>
              <w:rPr>
                <w:b w:val="0"/>
              </w:rPr>
              <w:t>0.0063777</w:t>
            </w:r>
          </w:p>
        </w:tc>
        <w:tc>
          <w:tcPr>
            <w:tcW w:type="dxa" w:w="1960"/>
          </w:tcPr>
          <w:p>
            <w:pPr>
              <w:pStyle w:val="Data"/>
              <w:spacing w:after="20"/>
            </w:pPr>
            <w:r>
              <w:rPr>
                <w:b w:val="0"/>
              </w:rPr>
            </w:r>
            <w:r>
              <w:rPr>
                <w:b w:val="0"/>
              </w:rPr>
              <w:t>+119.6</w:t>
            </w:r>
          </w:p>
        </w:tc>
      </w:tr>
      <w:tr>
        <w:trPr>
          <w:cantSplit/>
        </w:trPr>
        <w:tc>
          <w:tcPr>
            <w:tcW w:type="dxa" w:w="1000"/>
          </w:tcPr>
          <w:p>
            <w:pPr>
              <w:pStyle w:val="Data"/>
              <w:spacing w:after="20"/>
            </w:pPr>
            <w:r>
              <w:rPr>
                <w:b w:val="0"/>
              </w:rPr>
            </w:r>
            <w:r>
              <w:rPr>
                <w:b w:val="0"/>
              </w:rPr>
              <w:t>6983</w:t>
            </w:r>
          </w:p>
        </w:tc>
        <w:tc>
          <w:tcPr>
            <w:tcW w:type="dxa" w:w="1400"/>
          </w:tcPr>
          <w:p>
            <w:pPr>
              <w:pStyle w:val="Data"/>
              <w:spacing w:after="20"/>
            </w:pPr>
            <w:r>
              <w:rPr>
                <w:b w:val="0"/>
              </w:rPr>
            </w:r>
            <w:r>
              <w:rPr>
                <w:b w:val="0"/>
              </w:rPr>
              <w:t>27.593</w:t>
            </w:r>
          </w:p>
        </w:tc>
        <w:tc>
          <w:tcPr>
            <w:tcW w:type="dxa" w:w="1200"/>
          </w:tcPr>
          <w:p>
            <w:pPr>
              <w:pStyle w:val="Data"/>
              <w:spacing w:after="20"/>
            </w:pPr>
            <w:r>
              <w:rPr>
                <w:b w:val="0"/>
              </w:rPr>
            </w:r>
            <w:r>
              <w:rPr>
                <w:b w:val="0"/>
              </w:rPr>
              <w:t>0.170</w:t>
            </w:r>
          </w:p>
        </w:tc>
        <w:tc>
          <w:tcPr>
            <w:tcW w:type="dxa" w:w="1900"/>
          </w:tcPr>
          <w:p>
            <w:pPr>
              <w:pStyle w:val="Data"/>
              <w:spacing w:after="20"/>
            </w:pPr>
            <w:r>
              <w:rPr>
                <w:b w:val="0"/>
              </w:rPr>
            </w:r>
            <w:r>
              <w:rPr>
                <w:b w:val="0"/>
              </w:rPr>
              <w:t>0.0069341</w:t>
            </w:r>
          </w:p>
        </w:tc>
        <w:tc>
          <w:tcPr>
            <w:tcW w:type="dxa" w:w="1900"/>
          </w:tcPr>
          <w:p>
            <w:pPr>
              <w:pStyle w:val="Data"/>
              <w:spacing w:after="20"/>
            </w:pPr>
            <w:r>
              <w:rPr>
                <w:b w:val="0"/>
              </w:rPr>
            </w:r>
            <w:r>
              <w:rPr>
                <w:b w:val="0"/>
              </w:rPr>
              <w:t>0.0046265</w:t>
            </w:r>
          </w:p>
        </w:tc>
        <w:tc>
          <w:tcPr>
            <w:tcW w:type="dxa" w:w="1960"/>
          </w:tcPr>
          <w:p>
            <w:pPr>
              <w:pStyle w:val="Data"/>
              <w:spacing w:after="20"/>
            </w:pPr>
            <w:r>
              <w:rPr>
                <w:b w:val="0"/>
              </w:rPr>
            </w:r>
            <w:r>
              <w:rPr>
                <w:b w:val="0"/>
              </w:rPr>
              <w:t>+691.8</w:t>
            </w:r>
          </w:p>
        </w:tc>
      </w:tr>
      <w:tr>
        <w:trPr>
          <w:cantSplit/>
        </w:trPr>
        <w:tc>
          <w:tcPr>
            <w:tcW w:type="dxa" w:w="1000"/>
          </w:tcPr>
          <w:p>
            <w:pPr>
              <w:pStyle w:val="Data"/>
              <w:spacing w:after="20"/>
            </w:pPr>
            <w:r>
              <w:rPr>
                <w:b w:val="0"/>
              </w:rPr>
            </w:r>
            <w:r>
              <w:rPr>
                <w:b w:val="0"/>
              </w:rPr>
              <w:t>19476</w:t>
            </w:r>
          </w:p>
        </w:tc>
        <w:tc>
          <w:tcPr>
            <w:tcW w:type="dxa" w:w="1400"/>
          </w:tcPr>
          <w:p>
            <w:pPr>
              <w:pStyle w:val="Data"/>
              <w:spacing w:after="20"/>
            </w:pPr>
            <w:r>
              <w:rPr>
                <w:b w:val="0"/>
              </w:rPr>
            </w:r>
            <w:r>
              <w:rPr>
                <w:b w:val="0"/>
              </w:rPr>
              <w:t>32.569</w:t>
            </w:r>
          </w:p>
        </w:tc>
        <w:tc>
          <w:tcPr>
            <w:tcW w:type="dxa" w:w="1200"/>
          </w:tcPr>
          <w:p>
            <w:pPr>
              <w:pStyle w:val="Data"/>
              <w:spacing w:after="20"/>
            </w:pPr>
            <w:r>
              <w:rPr>
                <w:b w:val="0"/>
              </w:rPr>
            </w:r>
            <w:r>
              <w:rPr>
                <w:b w:val="0"/>
              </w:rPr>
              <w:t>0.280</w:t>
            </w:r>
          </w:p>
        </w:tc>
        <w:tc>
          <w:tcPr>
            <w:tcW w:type="dxa" w:w="1900"/>
          </w:tcPr>
          <w:p>
            <w:pPr>
              <w:pStyle w:val="Data"/>
              <w:spacing w:after="20"/>
            </w:pPr>
            <w:r>
              <w:rPr>
                <w:b w:val="0"/>
              </w:rPr>
            </w:r>
            <w:r>
              <w:rPr>
                <w:b w:val="0"/>
              </w:rPr>
              <w:t>0.0081794</w:t>
            </w:r>
          </w:p>
        </w:tc>
        <w:tc>
          <w:tcPr>
            <w:tcW w:type="dxa" w:w="1900"/>
          </w:tcPr>
          <w:p>
            <w:pPr>
              <w:pStyle w:val="Data"/>
              <w:spacing w:after="20"/>
            </w:pPr>
            <w:r>
              <w:rPr>
                <w:b w:val="0"/>
              </w:rPr>
            </w:r>
            <w:r>
              <w:rPr>
                <w:b w:val="0"/>
              </w:rPr>
              <w:t>0.0091530</w:t>
            </w:r>
          </w:p>
        </w:tc>
        <w:tc>
          <w:tcPr>
            <w:tcW w:type="dxa" w:w="1960"/>
          </w:tcPr>
          <w:p>
            <w:pPr>
              <w:pStyle w:val="Data"/>
              <w:spacing w:after="20"/>
            </w:pPr>
            <w:r>
              <w:rPr>
                <w:b w:val="0"/>
              </w:rPr>
            </w:r>
            <w:r>
              <w:rPr>
                <w:b w:val="0"/>
              </w:rPr>
              <w:t>-291.9</w:t>
            </w:r>
          </w:p>
        </w:tc>
      </w:tr>
      <w:tr>
        <w:trPr>
          <w:cantSplit/>
        </w:trPr>
        <w:tc>
          <w:tcPr>
            <w:tcW w:type="dxa" w:w="1000"/>
          </w:tcPr>
          <w:p>
            <w:pPr>
              <w:pStyle w:val="Data"/>
              <w:spacing w:after="20"/>
            </w:pPr>
            <w:r>
              <w:rPr>
                <w:b w:val="0"/>
              </w:rPr>
            </w:r>
            <w:r>
              <w:rPr>
                <w:b w:val="0"/>
              </w:rPr>
              <w:t>46115</w:t>
            </w:r>
          </w:p>
        </w:tc>
        <w:tc>
          <w:tcPr>
            <w:tcW w:type="dxa" w:w="1400"/>
          </w:tcPr>
          <w:p>
            <w:pPr>
              <w:pStyle w:val="Data"/>
              <w:spacing w:after="20"/>
            </w:pPr>
            <w:r>
              <w:rPr>
                <w:b w:val="0"/>
              </w:rPr>
            </w:r>
            <w:r>
              <w:rPr>
                <w:b w:val="0"/>
              </w:rPr>
              <w:t>32.719</w:t>
            </w:r>
          </w:p>
        </w:tc>
        <w:tc>
          <w:tcPr>
            <w:tcW w:type="dxa" w:w="1200"/>
          </w:tcPr>
          <w:p>
            <w:pPr>
              <w:pStyle w:val="Data"/>
              <w:spacing w:after="20"/>
            </w:pPr>
            <w:r>
              <w:rPr>
                <w:b w:val="0"/>
              </w:rPr>
            </w:r>
            <w:r>
              <w:rPr>
                <w:b w:val="0"/>
              </w:rPr>
              <w:t>0.280</w:t>
            </w:r>
          </w:p>
        </w:tc>
        <w:tc>
          <w:tcPr>
            <w:tcW w:type="dxa" w:w="1900"/>
          </w:tcPr>
          <w:p>
            <w:pPr>
              <w:pStyle w:val="Data"/>
              <w:spacing w:after="20"/>
            </w:pPr>
            <w:r>
              <w:rPr>
                <w:b w:val="0"/>
              </w:rPr>
            </w:r>
            <w:r>
              <w:rPr>
                <w:b w:val="0"/>
              </w:rPr>
              <w:t>0.0082170</w:t>
            </w:r>
          </w:p>
        </w:tc>
        <w:tc>
          <w:tcPr>
            <w:tcW w:type="dxa" w:w="1900"/>
          </w:tcPr>
          <w:p>
            <w:pPr>
              <w:pStyle w:val="Data"/>
              <w:spacing w:after="20"/>
            </w:pPr>
            <w:r>
              <w:rPr>
                <w:b w:val="0"/>
              </w:rPr>
            </w:r>
            <w:r>
              <w:rPr>
                <w:b w:val="0"/>
              </w:rPr>
              <w:t>0.0103338</w:t>
            </w:r>
          </w:p>
        </w:tc>
        <w:tc>
          <w:tcPr>
            <w:tcW w:type="dxa" w:w="1960"/>
          </w:tcPr>
          <w:p>
            <w:pPr>
              <w:pStyle w:val="Data"/>
              <w:spacing w:after="20"/>
            </w:pPr>
            <w:r>
              <w:rPr>
                <w:b w:val="0"/>
              </w:rPr>
            </w:r>
            <w:r>
              <w:rPr>
                <w:b w:val="0"/>
              </w:rPr>
              <w:t>-634.6</w:t>
            </w:r>
          </w:p>
        </w:tc>
      </w:tr>
      <w:tr>
        <w:trPr>
          <w:cantSplit/>
        </w:trPr>
        <w:tc>
          <w:tcPr>
            <w:tcW w:type="dxa" w:w="1000"/>
          </w:tcPr>
          <w:p>
            <w:pPr>
              <w:pStyle w:val="Data"/>
              <w:spacing w:after="20"/>
            </w:pPr>
            <w:r>
              <w:rPr>
                <w:b w:val="0"/>
              </w:rPr>
            </w:r>
            <w:r>
              <w:rPr>
                <w:b w:val="0"/>
              </w:rPr>
              <w:t>71730</w:t>
            </w:r>
          </w:p>
        </w:tc>
        <w:tc>
          <w:tcPr>
            <w:tcW w:type="dxa" w:w="1400"/>
          </w:tcPr>
          <w:p>
            <w:pPr>
              <w:pStyle w:val="Data"/>
              <w:spacing w:after="20"/>
            </w:pPr>
            <w:r>
              <w:rPr>
                <w:b w:val="0"/>
              </w:rPr>
            </w:r>
            <w:r>
              <w:rPr>
                <w:b w:val="0"/>
              </w:rPr>
              <w:t>38.976</w:t>
            </w:r>
          </w:p>
        </w:tc>
        <w:tc>
          <w:tcPr>
            <w:tcW w:type="dxa" w:w="1200"/>
          </w:tcPr>
          <w:p>
            <w:pPr>
              <w:pStyle w:val="Data"/>
              <w:spacing w:after="20"/>
            </w:pPr>
            <w:r>
              <w:rPr>
                <w:b w:val="0"/>
              </w:rPr>
            </w:r>
            <w:r>
              <w:rPr>
                <w:b w:val="0"/>
              </w:rPr>
              <w:t>0.150</w:t>
            </w:r>
          </w:p>
        </w:tc>
        <w:tc>
          <w:tcPr>
            <w:tcW w:type="dxa" w:w="1900"/>
          </w:tcPr>
          <w:p>
            <w:pPr>
              <w:pStyle w:val="Data"/>
              <w:spacing w:after="20"/>
            </w:pPr>
            <w:r>
              <w:rPr>
                <w:b w:val="0"/>
              </w:rPr>
            </w:r>
            <w:r>
              <w:rPr>
                <w:b w:val="0"/>
              </w:rPr>
              <w:t>0.0097809</w:t>
            </w:r>
          </w:p>
        </w:tc>
        <w:tc>
          <w:tcPr>
            <w:tcW w:type="dxa" w:w="1900"/>
          </w:tcPr>
          <w:p>
            <w:pPr>
              <w:pStyle w:val="Data"/>
              <w:spacing w:after="20"/>
            </w:pPr>
            <w:r>
              <w:rPr>
                <w:b w:val="0"/>
              </w:rPr>
            </w:r>
            <w:r>
              <w:rPr>
                <w:b w:val="0"/>
              </w:rPr>
              <w:t>0.0095433</w:t>
            </w:r>
          </w:p>
        </w:tc>
        <w:tc>
          <w:tcPr>
            <w:tcW w:type="dxa" w:w="1960"/>
          </w:tcPr>
          <w:p>
            <w:pPr>
              <w:pStyle w:val="Data"/>
              <w:spacing w:after="20"/>
            </w:pPr>
            <w:r>
              <w:rPr>
                <w:b w:val="0"/>
              </w:rPr>
            </w:r>
            <w:r>
              <w:rPr>
                <w:b w:val="0"/>
              </w:rPr>
              <w:t>+71.2</w:t>
            </w:r>
          </w:p>
        </w:tc>
      </w:tr>
      <w:tr>
        <w:trPr>
          <w:cantSplit/>
        </w:trPr>
        <w:tc>
          <w:tcPr>
            <w:tcW w:type="dxa" w:w="1000"/>
          </w:tcPr>
          <w:p>
            <w:pPr>
              <w:pStyle w:val="Data"/>
              <w:spacing w:after="20"/>
            </w:pPr>
            <w:r>
              <w:rPr>
                <w:b w:val="0"/>
              </w:rPr>
            </w:r>
            <w:r>
              <w:rPr>
                <w:b w:val="0"/>
              </w:rPr>
              <w:t>45657</w:t>
            </w:r>
          </w:p>
        </w:tc>
        <w:tc>
          <w:tcPr>
            <w:tcW w:type="dxa" w:w="1400"/>
          </w:tcPr>
          <w:p>
            <w:pPr>
              <w:pStyle w:val="Data"/>
              <w:spacing w:after="20"/>
            </w:pPr>
            <w:r>
              <w:rPr>
                <w:b w:val="0"/>
              </w:rPr>
            </w:r>
            <w:r>
              <w:rPr>
                <w:b w:val="0"/>
              </w:rPr>
              <w:t>39.337</w:t>
            </w:r>
          </w:p>
        </w:tc>
        <w:tc>
          <w:tcPr>
            <w:tcW w:type="dxa" w:w="1200"/>
          </w:tcPr>
          <w:p>
            <w:pPr>
              <w:pStyle w:val="Data"/>
              <w:spacing w:after="20"/>
            </w:pPr>
            <w:r>
              <w:rPr>
                <w:b w:val="0"/>
              </w:rPr>
            </w:r>
            <w:r>
              <w:rPr>
                <w:b w:val="0"/>
              </w:rPr>
              <w:t>0.076</w:t>
            </w:r>
          </w:p>
        </w:tc>
        <w:tc>
          <w:tcPr>
            <w:tcW w:type="dxa" w:w="1900"/>
          </w:tcPr>
          <w:p>
            <w:pPr>
              <w:pStyle w:val="Data"/>
              <w:spacing w:after="20"/>
            </w:pPr>
            <w:r>
              <w:rPr>
                <w:b w:val="0"/>
              </w:rPr>
            </w:r>
            <w:r>
              <w:rPr>
                <w:b w:val="0"/>
              </w:rPr>
              <w:t>0.0098709</w:t>
            </w:r>
          </w:p>
        </w:tc>
        <w:tc>
          <w:tcPr>
            <w:tcW w:type="dxa" w:w="1900"/>
          </w:tcPr>
          <w:p>
            <w:pPr>
              <w:pStyle w:val="Data"/>
              <w:spacing w:after="20"/>
            </w:pPr>
            <w:r>
              <w:rPr>
                <w:b w:val="0"/>
              </w:rPr>
            </w:r>
            <w:r>
              <w:rPr>
                <w:b w:val="0"/>
              </w:rPr>
              <w:t>0.0108608</w:t>
            </w:r>
          </w:p>
        </w:tc>
        <w:tc>
          <w:tcPr>
            <w:tcW w:type="dxa" w:w="1960"/>
          </w:tcPr>
          <w:p>
            <w:pPr>
              <w:pStyle w:val="Data"/>
              <w:spacing w:after="20"/>
            </w:pPr>
            <w:r>
              <w:rPr>
                <w:b w:val="0"/>
              </w:rPr>
            </w:r>
            <w:r>
              <w:rPr>
                <w:b w:val="0"/>
              </w:rPr>
              <w:t>-296.8</w:t>
            </w:r>
          </w:p>
        </w:tc>
      </w:tr>
      <w:tr>
        <w:trPr>
          <w:cantSplit/>
        </w:trPr>
        <w:tc>
          <w:tcPr>
            <w:tcW w:type="dxa" w:w="1000"/>
          </w:tcPr>
          <w:p>
            <w:pPr>
              <w:pStyle w:val="Data"/>
              <w:spacing w:after="20"/>
            </w:pPr>
            <w:r>
              <w:rPr>
                <w:b w:val="0"/>
              </w:rPr>
            </w:r>
            <w:r>
              <w:rPr>
                <w:b w:val="0"/>
              </w:rPr>
              <w:t>33871</w:t>
            </w:r>
          </w:p>
        </w:tc>
        <w:tc>
          <w:tcPr>
            <w:tcW w:type="dxa" w:w="1400"/>
          </w:tcPr>
          <w:p>
            <w:pPr>
              <w:pStyle w:val="Data"/>
              <w:spacing w:after="20"/>
            </w:pPr>
            <w:r>
              <w:rPr>
                <w:b w:val="0"/>
              </w:rPr>
            </w:r>
            <w:r>
              <w:rPr>
                <w:b w:val="0"/>
              </w:rPr>
              <w:t>47.076</w:t>
            </w:r>
          </w:p>
        </w:tc>
        <w:tc>
          <w:tcPr>
            <w:tcW w:type="dxa" w:w="1200"/>
          </w:tcPr>
          <w:p>
            <w:pPr>
              <w:pStyle w:val="Data"/>
              <w:spacing w:after="20"/>
            </w:pPr>
            <w:r>
              <w:rPr>
                <w:b w:val="0"/>
              </w:rPr>
            </w:r>
            <w:r>
              <w:rPr>
                <w:b w:val="0"/>
              </w:rPr>
              <w:t>0.220</w:t>
            </w:r>
          </w:p>
        </w:tc>
        <w:tc>
          <w:tcPr>
            <w:tcW w:type="dxa" w:w="1900"/>
          </w:tcPr>
          <w:p>
            <w:pPr>
              <w:pStyle w:val="Data"/>
              <w:spacing w:after="20"/>
            </w:pPr>
            <w:r>
              <w:rPr>
                <w:b w:val="0"/>
              </w:rPr>
            </w:r>
            <w:r>
              <w:rPr>
                <w:b w:val="0"/>
              </w:rPr>
              <w:t>0.0118017</w:t>
            </w:r>
          </w:p>
        </w:tc>
        <w:tc>
          <w:tcPr>
            <w:tcW w:type="dxa" w:w="1900"/>
          </w:tcPr>
          <w:p>
            <w:pPr>
              <w:pStyle w:val="Data"/>
              <w:spacing w:after="20"/>
            </w:pPr>
            <w:r>
              <w:rPr>
                <w:b w:val="0"/>
              </w:rPr>
            </w:r>
            <w:r>
              <w:rPr>
                <w:b w:val="0"/>
              </w:rPr>
              <w:t>0.0111644</w:t>
            </w:r>
          </w:p>
        </w:tc>
        <w:tc>
          <w:tcPr>
            <w:tcW w:type="dxa" w:w="1960"/>
          </w:tcPr>
          <w:p>
            <w:pPr>
              <w:pStyle w:val="Data"/>
              <w:spacing w:after="20"/>
            </w:pPr>
            <w:r>
              <w:rPr>
                <w:b w:val="0"/>
              </w:rPr>
            </w:r>
            <w:r>
              <w:rPr>
                <w:b w:val="0"/>
              </w:rPr>
              <w:t>+191.1</w:t>
            </w:r>
          </w:p>
        </w:tc>
      </w:tr>
      <w:tr>
        <w:trPr>
          <w:cantSplit/>
        </w:trPr>
        <w:tc>
          <w:tcPr>
            <w:tcW w:type="dxa" w:w="1000"/>
          </w:tcPr>
          <w:p>
            <w:pPr>
              <w:pStyle w:val="Data"/>
              <w:spacing w:after="20"/>
            </w:pPr>
            <w:r>
              <w:rPr>
                <w:b w:val="0"/>
              </w:rPr>
            </w:r>
            <w:r>
              <w:rPr>
                <w:b w:val="0"/>
              </w:rPr>
              <w:t>31586</w:t>
            </w:r>
          </w:p>
        </w:tc>
        <w:tc>
          <w:tcPr>
            <w:tcW w:type="dxa" w:w="1400"/>
          </w:tcPr>
          <w:p>
            <w:pPr>
              <w:pStyle w:val="Data"/>
              <w:spacing w:after="20"/>
            </w:pPr>
            <w:r>
              <w:rPr>
                <w:b w:val="0"/>
              </w:rPr>
            </w:r>
            <w:r>
              <w:rPr>
                <w:b w:val="0"/>
              </w:rPr>
              <w:t>53.064</w:t>
            </w:r>
          </w:p>
        </w:tc>
        <w:tc>
          <w:tcPr>
            <w:tcW w:type="dxa" w:w="1200"/>
          </w:tcPr>
          <w:p>
            <w:pPr>
              <w:pStyle w:val="Data"/>
              <w:spacing w:after="20"/>
            </w:pPr>
            <w:r>
              <w:rPr>
                <w:b w:val="0"/>
              </w:rPr>
            </w:r>
            <w:r>
              <w:rPr>
                <w:b w:val="0"/>
              </w:rPr>
              <w:t>0.082</w:t>
            </w:r>
          </w:p>
        </w:tc>
        <w:tc>
          <w:tcPr>
            <w:tcW w:type="dxa" w:w="1900"/>
          </w:tcPr>
          <w:p>
            <w:pPr>
              <w:pStyle w:val="Data"/>
              <w:spacing w:after="20"/>
            </w:pPr>
            <w:r>
              <w:rPr>
                <w:b w:val="0"/>
              </w:rPr>
            </w:r>
            <w:r>
              <w:rPr>
                <w:b w:val="0"/>
              </w:rPr>
              <w:t>0.0132931</w:t>
            </w:r>
          </w:p>
        </w:tc>
        <w:tc>
          <w:tcPr>
            <w:tcW w:type="dxa" w:w="1900"/>
          </w:tcPr>
          <w:p>
            <w:pPr>
              <w:pStyle w:val="Data"/>
              <w:spacing w:after="20"/>
            </w:pPr>
            <w:r>
              <w:rPr>
                <w:b w:val="0"/>
              </w:rPr>
            </w:r>
            <w:r>
              <w:rPr>
                <w:b w:val="0"/>
              </w:rPr>
              <w:t>0.0111310</w:t>
            </w:r>
          </w:p>
        </w:tc>
        <w:tc>
          <w:tcPr>
            <w:tcW w:type="dxa" w:w="1960"/>
          </w:tcPr>
          <w:p>
            <w:pPr>
              <w:pStyle w:val="Data"/>
              <w:spacing w:after="20"/>
            </w:pPr>
            <w:r>
              <w:rPr>
                <w:b w:val="0"/>
              </w:rPr>
            </w:r>
            <w:r>
              <w:rPr>
                <w:b w:val="0"/>
              </w:rPr>
              <w:t>+648.2</w:t>
            </w:r>
          </w:p>
        </w:tc>
      </w:tr>
      <w:tr>
        <w:trPr>
          <w:cantSplit/>
        </w:trPr>
        <w:tc>
          <w:tcPr>
            <w:tcW w:type="dxa" w:w="1000"/>
          </w:tcPr>
          <w:p>
            <w:pPr>
              <w:pStyle w:val="Data"/>
              <w:spacing w:after="20"/>
            </w:pPr>
            <w:r>
              <w:rPr>
                <w:b w:val="0"/>
              </w:rPr>
            </w:r>
            <w:r>
              <w:rPr>
                <w:b w:val="0"/>
              </w:rPr>
              <w:t>4224</w:t>
            </w:r>
          </w:p>
        </w:tc>
        <w:tc>
          <w:tcPr>
            <w:tcW w:type="dxa" w:w="1400"/>
          </w:tcPr>
          <w:p>
            <w:pPr>
              <w:pStyle w:val="Data"/>
              <w:spacing w:after="20"/>
            </w:pPr>
            <w:r>
              <w:rPr>
                <w:b w:val="0"/>
              </w:rPr>
            </w:r>
            <w:r>
              <w:rPr>
                <w:b w:val="0"/>
              </w:rPr>
              <w:t>59.924</w:t>
            </w:r>
          </w:p>
        </w:tc>
        <w:tc>
          <w:tcPr>
            <w:tcW w:type="dxa" w:w="1200"/>
          </w:tcPr>
          <w:p>
            <w:pPr>
              <w:pStyle w:val="Data"/>
              <w:spacing w:after="20"/>
            </w:pPr>
            <w:r>
              <w:rPr>
                <w:b w:val="0"/>
              </w:rPr>
            </w:r>
            <w:r>
              <w:rPr>
                <w:b w:val="0"/>
              </w:rPr>
              <w:t>0.082</w:t>
            </w:r>
          </w:p>
        </w:tc>
        <w:tc>
          <w:tcPr>
            <w:tcW w:type="dxa" w:w="1900"/>
          </w:tcPr>
          <w:p>
            <w:pPr>
              <w:pStyle w:val="Data"/>
              <w:spacing w:after="20"/>
            </w:pPr>
            <w:r>
              <w:rPr>
                <w:b w:val="0"/>
              </w:rPr>
            </w:r>
            <w:r>
              <w:rPr>
                <w:b w:val="0"/>
              </w:rPr>
              <w:t>0.0149989</w:t>
            </w:r>
          </w:p>
        </w:tc>
        <w:tc>
          <w:tcPr>
            <w:tcW w:type="dxa" w:w="1900"/>
          </w:tcPr>
          <w:p>
            <w:pPr>
              <w:pStyle w:val="Data"/>
              <w:spacing w:after="20"/>
            </w:pPr>
            <w:r>
              <w:rPr>
                <w:b w:val="0"/>
              </w:rPr>
            </w:r>
            <w:r>
              <w:rPr>
                <w:b w:val="0"/>
              </w:rPr>
              <w:t>0.0166248</w:t>
            </w:r>
          </w:p>
        </w:tc>
        <w:tc>
          <w:tcPr>
            <w:tcW w:type="dxa" w:w="1960"/>
          </w:tcPr>
          <w:p>
            <w:pPr>
              <w:pStyle w:val="Data"/>
              <w:spacing w:after="20"/>
            </w:pPr>
            <w:r>
              <w:rPr>
                <w:b w:val="0"/>
              </w:rPr>
            </w:r>
            <w:r>
              <w:rPr>
                <w:b w:val="0"/>
              </w:rPr>
              <w:t>-487.4</w:t>
            </w:r>
          </w:p>
        </w:tc>
      </w:tr>
      <w:tr>
        <w:trPr>
          <w:cantSplit/>
        </w:trPr>
        <w:tc>
          <w:tcPr>
            <w:tcW w:type="dxa" w:w="1000"/>
          </w:tcPr>
          <w:p>
            <w:pPr>
              <w:pStyle w:val="Data"/>
              <w:spacing w:after="20"/>
            </w:pPr>
            <w:r>
              <w:rPr>
                <w:b w:val="0"/>
              </w:rPr>
            </w:r>
            <w:r>
              <w:rPr>
                <w:b w:val="0"/>
              </w:rPr>
              <w:t>6962</w:t>
            </w:r>
          </w:p>
        </w:tc>
        <w:tc>
          <w:tcPr>
            <w:tcW w:type="dxa" w:w="1400"/>
          </w:tcPr>
          <w:p>
            <w:pPr>
              <w:pStyle w:val="Data"/>
              <w:spacing w:after="20"/>
            </w:pPr>
            <w:r>
              <w:rPr>
                <w:b w:val="0"/>
              </w:rPr>
            </w:r>
            <w:r>
              <w:rPr>
                <w:b w:val="0"/>
              </w:rPr>
              <w:t>60.145</w:t>
            </w:r>
          </w:p>
        </w:tc>
        <w:tc>
          <w:tcPr>
            <w:tcW w:type="dxa" w:w="1200"/>
          </w:tcPr>
          <w:p>
            <w:pPr>
              <w:pStyle w:val="Data"/>
              <w:spacing w:after="20"/>
            </w:pPr>
            <w:r>
              <w:rPr>
                <w:b w:val="0"/>
              </w:rPr>
            </w:r>
            <w:r>
              <w:rPr>
                <w:b w:val="0"/>
              </w:rPr>
              <w:t>0.085</w:t>
            </w:r>
          </w:p>
        </w:tc>
        <w:tc>
          <w:tcPr>
            <w:tcW w:type="dxa" w:w="1900"/>
          </w:tcPr>
          <w:p>
            <w:pPr>
              <w:pStyle w:val="Data"/>
              <w:spacing w:after="20"/>
            </w:pPr>
            <w:r>
              <w:rPr>
                <w:b w:val="0"/>
              </w:rPr>
            </w:r>
            <w:r>
              <w:rPr>
                <w:b w:val="0"/>
              </w:rPr>
              <w:t>0.0150539</w:t>
            </w:r>
          </w:p>
        </w:tc>
        <w:tc>
          <w:tcPr>
            <w:tcW w:type="dxa" w:w="1900"/>
          </w:tcPr>
          <w:p>
            <w:pPr>
              <w:pStyle w:val="Data"/>
              <w:spacing w:after="20"/>
            </w:pPr>
            <w:r>
              <w:rPr>
                <w:b w:val="0"/>
              </w:rPr>
            </w:r>
            <w:r>
              <w:rPr>
                <w:b w:val="0"/>
              </w:rPr>
              <w:t>0.0153006</w:t>
            </w:r>
          </w:p>
        </w:tc>
        <w:tc>
          <w:tcPr>
            <w:tcW w:type="dxa" w:w="1960"/>
          </w:tcPr>
          <w:p>
            <w:pPr>
              <w:pStyle w:val="Data"/>
              <w:spacing w:after="20"/>
            </w:pPr>
            <w:r>
              <w:rPr>
                <w:b w:val="0"/>
              </w:rPr>
            </w:r>
            <w:r>
              <w:rPr>
                <w:b w:val="0"/>
              </w:rPr>
              <w:t>-74.0</w:t>
            </w:r>
          </w:p>
        </w:tc>
      </w:tr>
      <w:tr>
        <w:trPr>
          <w:cantSplit/>
        </w:trPr>
        <w:tc>
          <w:tcPr>
            <w:tcW w:type="dxa" w:w="1000"/>
          </w:tcPr>
          <w:p>
            <w:pPr>
              <w:pStyle w:val="Data"/>
              <w:spacing w:after="20"/>
            </w:pPr>
            <w:r>
              <w:rPr>
                <w:b w:val="0"/>
              </w:rPr>
            </w:r>
            <w:r>
              <w:rPr>
                <w:b w:val="0"/>
              </w:rPr>
              <w:t>66537</w:t>
            </w:r>
          </w:p>
        </w:tc>
        <w:tc>
          <w:tcPr>
            <w:tcW w:type="dxa" w:w="1400"/>
          </w:tcPr>
          <w:p>
            <w:pPr>
              <w:pStyle w:val="Data"/>
              <w:spacing w:after="20"/>
            </w:pPr>
            <w:r>
              <w:rPr>
                <w:b w:val="0"/>
              </w:rPr>
            </w:r>
            <w:r>
              <w:rPr>
                <w:b w:val="0"/>
              </w:rPr>
              <w:t>60.478</w:t>
            </w:r>
          </w:p>
        </w:tc>
        <w:tc>
          <w:tcPr>
            <w:tcW w:type="dxa" w:w="1200"/>
          </w:tcPr>
          <w:p>
            <w:pPr>
              <w:pStyle w:val="Data"/>
              <w:spacing w:after="20"/>
            </w:pPr>
            <w:r>
              <w:rPr>
                <w:b w:val="0"/>
              </w:rPr>
            </w:r>
            <w:r>
              <w:rPr>
                <w:b w:val="0"/>
              </w:rPr>
              <w:t>0.092</w:t>
            </w:r>
          </w:p>
        </w:tc>
        <w:tc>
          <w:tcPr>
            <w:tcW w:type="dxa" w:w="1900"/>
          </w:tcPr>
          <w:p>
            <w:pPr>
              <w:pStyle w:val="Data"/>
              <w:spacing w:after="20"/>
            </w:pPr>
            <w:r>
              <w:rPr>
                <w:b w:val="0"/>
              </w:rPr>
            </w:r>
            <w:r>
              <w:rPr>
                <w:b w:val="0"/>
              </w:rPr>
              <w:t>0.0151367</w:t>
            </w:r>
          </w:p>
        </w:tc>
        <w:tc>
          <w:tcPr>
            <w:tcW w:type="dxa" w:w="1900"/>
          </w:tcPr>
          <w:p>
            <w:pPr>
              <w:pStyle w:val="Data"/>
              <w:spacing w:after="20"/>
            </w:pPr>
            <w:r>
              <w:rPr>
                <w:b w:val="0"/>
              </w:rPr>
            </w:r>
            <w:r>
              <w:rPr>
                <w:b w:val="0"/>
              </w:rPr>
              <w:t>0.0146968</w:t>
            </w:r>
          </w:p>
        </w:tc>
        <w:tc>
          <w:tcPr>
            <w:tcW w:type="dxa" w:w="1960"/>
          </w:tcPr>
          <w:p>
            <w:pPr>
              <w:pStyle w:val="Data"/>
              <w:spacing w:after="20"/>
            </w:pPr>
            <w:r>
              <w:rPr>
                <w:b w:val="0"/>
              </w:rPr>
            </w:r>
            <w:r>
              <w:rPr>
                <w:b w:val="0"/>
              </w:rPr>
              <w:t>+131.9</w:t>
            </w:r>
          </w:p>
        </w:tc>
      </w:tr>
      <w:tr>
        <w:trPr>
          <w:cantSplit/>
        </w:trPr>
        <w:tc>
          <w:tcPr>
            <w:tcW w:type="dxa" w:w="1000"/>
          </w:tcPr>
          <w:p>
            <w:pPr>
              <w:pStyle w:val="Data"/>
              <w:spacing w:after="20"/>
            </w:pPr>
            <w:r>
              <w:rPr>
                <w:b w:val="0"/>
              </w:rPr>
            </w:r>
            <w:r>
              <w:rPr>
                <w:b w:val="0"/>
              </w:rPr>
              <w:t>5037</w:t>
            </w:r>
          </w:p>
        </w:tc>
        <w:tc>
          <w:tcPr>
            <w:tcW w:type="dxa" w:w="1400"/>
          </w:tcPr>
          <w:p>
            <w:pPr>
              <w:pStyle w:val="Data"/>
              <w:spacing w:after="20"/>
            </w:pPr>
            <w:r>
              <w:rPr>
                <w:b w:val="0"/>
              </w:rPr>
            </w:r>
            <w:r>
              <w:rPr>
                <w:b w:val="0"/>
              </w:rPr>
              <w:t>63.096</w:t>
            </w:r>
          </w:p>
        </w:tc>
        <w:tc>
          <w:tcPr>
            <w:tcW w:type="dxa" w:w="1200"/>
          </w:tcPr>
          <w:p>
            <w:pPr>
              <w:pStyle w:val="Data"/>
              <w:spacing w:after="20"/>
            </w:pPr>
            <w:r>
              <w:rPr>
                <w:b w:val="0"/>
              </w:rPr>
            </w:r>
            <w:r>
              <w:rPr>
                <w:b w:val="0"/>
              </w:rPr>
              <w:t>0.081</w:t>
            </w:r>
          </w:p>
        </w:tc>
        <w:tc>
          <w:tcPr>
            <w:tcW w:type="dxa" w:w="1900"/>
          </w:tcPr>
          <w:p>
            <w:pPr>
              <w:pStyle w:val="Data"/>
              <w:spacing w:after="20"/>
            </w:pPr>
            <w:r>
              <w:rPr>
                <w:b w:val="0"/>
              </w:rPr>
            </w:r>
            <w:r>
              <w:rPr>
                <w:b w:val="0"/>
              </w:rPr>
              <w:t>0.0157867</w:t>
            </w:r>
          </w:p>
        </w:tc>
        <w:tc>
          <w:tcPr>
            <w:tcW w:type="dxa" w:w="1900"/>
          </w:tcPr>
          <w:p>
            <w:pPr>
              <w:pStyle w:val="Data"/>
              <w:spacing w:after="20"/>
            </w:pPr>
            <w:r>
              <w:rPr>
                <w:b w:val="0"/>
              </w:rPr>
            </w:r>
            <w:r>
              <w:rPr>
                <w:b w:val="0"/>
              </w:rPr>
              <w:t>0.0127688</w:t>
            </w:r>
          </w:p>
        </w:tc>
        <w:tc>
          <w:tcPr>
            <w:tcW w:type="dxa" w:w="1960"/>
          </w:tcPr>
          <w:p>
            <w:pPr>
              <w:pStyle w:val="Data"/>
              <w:spacing w:after="20"/>
            </w:pPr>
            <w:r>
              <w:rPr>
                <w:b w:val="0"/>
              </w:rPr>
            </w:r>
            <w:r>
              <w:rPr>
                <w:b w:val="0"/>
              </w:rPr>
              <w:t>+904.7</w:t>
            </w:r>
          </w:p>
        </w:tc>
      </w:tr>
      <w:tr>
        <w:trPr>
          <w:cantSplit/>
        </w:trPr>
        <w:tc>
          <w:tcPr>
            <w:tcW w:type="dxa" w:w="1000"/>
          </w:tcPr>
          <w:p>
            <w:pPr>
              <w:pStyle w:val="Data"/>
              <w:spacing w:after="20"/>
            </w:pPr>
            <w:r>
              <w:rPr>
                <w:b w:val="0"/>
              </w:rPr>
            </w:r>
            <w:r>
              <w:rPr>
                <w:b w:val="0"/>
              </w:rPr>
              <w:t>50558</w:t>
            </w:r>
          </w:p>
        </w:tc>
        <w:tc>
          <w:tcPr>
            <w:tcW w:type="dxa" w:w="1400"/>
          </w:tcPr>
          <w:p>
            <w:pPr>
              <w:pStyle w:val="Data"/>
              <w:spacing w:after="20"/>
            </w:pPr>
            <w:r>
              <w:rPr>
                <w:b w:val="0"/>
              </w:rPr>
            </w:r>
            <w:r>
              <w:rPr>
                <w:b w:val="0"/>
              </w:rPr>
              <w:t>69.759</w:t>
            </w:r>
          </w:p>
        </w:tc>
        <w:tc>
          <w:tcPr>
            <w:tcW w:type="dxa" w:w="1200"/>
          </w:tcPr>
          <w:p>
            <w:pPr>
              <w:pStyle w:val="Data"/>
              <w:spacing w:after="20"/>
            </w:pPr>
            <w:r>
              <w:rPr>
                <w:b w:val="0"/>
              </w:rPr>
            </w:r>
            <w:r>
              <w:rPr>
                <w:b w:val="0"/>
              </w:rPr>
              <w:t>0.080</w:t>
            </w:r>
          </w:p>
        </w:tc>
        <w:tc>
          <w:tcPr>
            <w:tcW w:type="dxa" w:w="1900"/>
          </w:tcPr>
          <w:p>
            <w:pPr>
              <w:pStyle w:val="Data"/>
              <w:spacing w:after="20"/>
            </w:pPr>
            <w:r>
              <w:rPr>
                <w:b w:val="0"/>
              </w:rPr>
            </w:r>
            <w:r>
              <w:rPr>
                <w:b w:val="0"/>
              </w:rPr>
              <w:t>0.0174398</w:t>
            </w:r>
          </w:p>
        </w:tc>
        <w:tc>
          <w:tcPr>
            <w:tcW w:type="dxa" w:w="1900"/>
          </w:tcPr>
          <w:p>
            <w:pPr>
              <w:pStyle w:val="Data"/>
              <w:spacing w:after="20"/>
            </w:pPr>
            <w:r>
              <w:rPr>
                <w:b w:val="0"/>
              </w:rPr>
            </w:r>
            <w:r>
              <w:rPr>
                <w:b w:val="0"/>
              </w:rPr>
              <w:t>0.0169284</w:t>
            </w:r>
          </w:p>
        </w:tc>
        <w:tc>
          <w:tcPr>
            <w:tcW w:type="dxa" w:w="1960"/>
          </w:tcPr>
          <w:p>
            <w:pPr>
              <w:pStyle w:val="Data"/>
              <w:spacing w:after="20"/>
            </w:pPr>
            <w:r>
              <w:rPr>
                <w:b w:val="0"/>
              </w:rPr>
            </w:r>
            <w:r>
              <w:rPr>
                <w:b w:val="0"/>
              </w:rPr>
              <w:t>+153.3</w:t>
            </w:r>
          </w:p>
        </w:tc>
      </w:tr>
      <w:tr>
        <w:trPr>
          <w:cantSplit/>
        </w:trPr>
        <w:tc>
          <w:tcPr>
            <w:tcW w:type="dxa" w:w="1000"/>
          </w:tcPr>
          <w:p>
            <w:pPr>
              <w:pStyle w:val="Data"/>
              <w:spacing w:after="20"/>
            </w:pPr>
            <w:r>
              <w:rPr>
                <w:b w:val="0"/>
              </w:rPr>
            </w:r>
            <w:r>
              <w:rPr>
                <w:b w:val="0"/>
              </w:rPr>
              <w:t>5324</w:t>
            </w:r>
          </w:p>
        </w:tc>
        <w:tc>
          <w:tcPr>
            <w:tcW w:type="dxa" w:w="1400"/>
          </w:tcPr>
          <w:p>
            <w:pPr>
              <w:pStyle w:val="Data"/>
              <w:spacing w:after="20"/>
            </w:pPr>
            <w:r>
              <w:rPr>
                <w:b w:val="0"/>
              </w:rPr>
            </w:r>
            <w:r>
              <w:rPr>
                <w:b w:val="0"/>
              </w:rPr>
              <w:t>73.858</w:t>
            </w:r>
          </w:p>
        </w:tc>
        <w:tc>
          <w:tcPr>
            <w:tcW w:type="dxa" w:w="1200"/>
          </w:tcPr>
          <w:p>
            <w:pPr>
              <w:pStyle w:val="Data"/>
              <w:spacing w:after="20"/>
            </w:pPr>
            <w:r>
              <w:rPr>
                <w:b w:val="0"/>
              </w:rPr>
            </w:r>
            <w:r>
              <w:rPr>
                <w:b w:val="0"/>
              </w:rPr>
              <w:t>0.096</w:t>
            </w:r>
          </w:p>
        </w:tc>
        <w:tc>
          <w:tcPr>
            <w:tcW w:type="dxa" w:w="1900"/>
          </w:tcPr>
          <w:p>
            <w:pPr>
              <w:pStyle w:val="Data"/>
              <w:spacing w:after="20"/>
            </w:pPr>
            <w:r>
              <w:rPr>
                <w:b w:val="0"/>
              </w:rPr>
            </w:r>
            <w:r>
              <w:rPr>
                <w:b w:val="0"/>
              </w:rPr>
              <w:t>0.0184554</w:t>
            </w:r>
          </w:p>
        </w:tc>
        <w:tc>
          <w:tcPr>
            <w:tcW w:type="dxa" w:w="1900"/>
          </w:tcPr>
          <w:p>
            <w:pPr>
              <w:pStyle w:val="Data"/>
              <w:spacing w:after="20"/>
            </w:pPr>
            <w:r>
              <w:rPr>
                <w:b w:val="0"/>
              </w:rPr>
            </w:r>
            <w:r>
              <w:rPr>
                <w:b w:val="0"/>
              </w:rPr>
              <w:t>0.0174154</w:t>
            </w:r>
          </w:p>
        </w:tc>
        <w:tc>
          <w:tcPr>
            <w:tcW w:type="dxa" w:w="1960"/>
          </w:tcPr>
          <w:p>
            <w:pPr>
              <w:pStyle w:val="Data"/>
              <w:spacing w:after="20"/>
            </w:pPr>
            <w:r>
              <w:rPr>
                <w:b w:val="0"/>
              </w:rPr>
            </w:r>
            <w:r>
              <w:rPr>
                <w:b w:val="0"/>
              </w:rPr>
              <w:t>+311.8</w:t>
            </w:r>
          </w:p>
        </w:tc>
      </w:tr>
      <w:tr>
        <w:trPr>
          <w:cantSplit/>
        </w:trPr>
        <w:tc>
          <w:tcPr>
            <w:tcW w:type="dxa" w:w="1000"/>
          </w:tcPr>
          <w:p>
            <w:pPr>
              <w:pStyle w:val="Data"/>
              <w:spacing w:after="20"/>
            </w:pPr>
            <w:r>
              <w:rPr>
                <w:b w:val="0"/>
              </w:rPr>
            </w:r>
            <w:r>
              <w:rPr>
                <w:b w:val="0"/>
              </w:rPr>
              <w:t>68434</w:t>
            </w:r>
          </w:p>
        </w:tc>
        <w:tc>
          <w:tcPr>
            <w:tcW w:type="dxa" w:w="1400"/>
          </w:tcPr>
          <w:p>
            <w:pPr>
              <w:pStyle w:val="Data"/>
              <w:spacing w:after="20"/>
            </w:pPr>
            <w:r>
              <w:rPr>
                <w:b w:val="0"/>
              </w:rPr>
            </w:r>
            <w:r>
              <w:rPr>
                <w:b w:val="0"/>
              </w:rPr>
              <w:t>77.804</w:t>
            </w:r>
          </w:p>
        </w:tc>
        <w:tc>
          <w:tcPr>
            <w:tcW w:type="dxa" w:w="1200"/>
          </w:tcPr>
          <w:p>
            <w:pPr>
              <w:pStyle w:val="Data"/>
              <w:spacing w:after="20"/>
            </w:pPr>
            <w:r>
              <w:rPr>
                <w:b w:val="0"/>
              </w:rPr>
            </w:r>
            <w:r>
              <w:rPr>
                <w:b w:val="0"/>
              </w:rPr>
              <w:t>0.104</w:t>
            </w:r>
          </w:p>
        </w:tc>
        <w:tc>
          <w:tcPr>
            <w:tcW w:type="dxa" w:w="1900"/>
          </w:tcPr>
          <w:p>
            <w:pPr>
              <w:pStyle w:val="Data"/>
              <w:spacing w:after="20"/>
            </w:pPr>
            <w:r>
              <w:rPr>
                <w:b w:val="0"/>
              </w:rPr>
            </w:r>
            <w:r>
              <w:rPr>
                <w:b w:val="0"/>
              </w:rPr>
              <w:t>0.0194320</w:t>
            </w:r>
          </w:p>
        </w:tc>
        <w:tc>
          <w:tcPr>
            <w:tcW w:type="dxa" w:w="1900"/>
          </w:tcPr>
          <w:p>
            <w:pPr>
              <w:pStyle w:val="Data"/>
              <w:spacing w:after="20"/>
            </w:pPr>
            <w:r>
              <w:rPr>
                <w:b w:val="0"/>
              </w:rPr>
            </w:r>
            <w:r>
              <w:rPr>
                <w:b w:val="0"/>
              </w:rPr>
              <w:t>0.0186262</w:t>
            </w:r>
          </w:p>
        </w:tc>
        <w:tc>
          <w:tcPr>
            <w:tcW w:type="dxa" w:w="1960"/>
          </w:tcPr>
          <w:p>
            <w:pPr>
              <w:pStyle w:val="Data"/>
              <w:spacing w:after="20"/>
            </w:pPr>
            <w:r>
              <w:rPr>
                <w:b w:val="0"/>
              </w:rPr>
            </w:r>
            <w:r>
              <w:rPr>
                <w:b w:val="0"/>
              </w:rPr>
              <w:t>+241.6</w:t>
            </w:r>
          </w:p>
        </w:tc>
      </w:tr>
    </w:tbl>
    <w:p>
      <w:pPr>
        <w:pStyle w:val="Caption"/>
      </w:pPr>
      <w:r/>
    </w:p>
    <w:p>
      <w:pPr>
        <w:pStyle w:val="Heading1"/>
      </w:pPr>
      <w:r>
        <w:t>Appendix B. Data release and reproduction</w:t>
      </w:r>
    </w:p>
    <w:p>
      <w:r>
        <w:t>The companion redshift_paper_data.zip contains all_164_groups.csv, the original time-redshift-expanded.zip, the paper-generation script, verification results and the derived figure. The original archive includes the full source catalog and field documentation, earlier-pilot group exclusions, protocol, separate label files, frozen parameters and predictions, checksums, scoring code and all results. The CSV combines these records for scientific inspection; that combined file is not a blinded input for a new test.</w:t>
      </w:r>
    </w:p>
    <w:p>
      <w:r>
        <w:t>In an extracted copy of the original archive, use Python with NumPy and SciPy and execute run_test.py with stages prepare, train, predictions, verify and score in that order, followed by make_report.py. These commands regenerate the original experiment outputs in that copy; preserve the distributed archive unchanged. The model uses distances in Mpc internally, κ in Mpc⁻¹, and c=299792.458 km/s. Reproduction recovers a computational split, not an untouched scientific test.</w:t>
      </w:r>
    </w:p>
    <w:p>
      <w:r>
        <w:t>For a single distance D, compute w=W(κD), then zpred=exp(w)−1 and r=D/(1+zpred). For the optical construction, compute nₑ=exp(−κr) at nₒ=1 and elapsed flight time Δt=[1−exp(−κr)]/(c₀κ). Verify the path integral and interval Jacobian against Equation (5). These identities were numerically checked for geometric paths of 1, 10, 100 and 1,000 Mly; they validate algebra and implementation, not the existence of the proposed response field.</w:t>
      </w:r>
    </w:p>
    <w:p>
      <w:r>
        <w:t>A full evidential release for the next experiment must add raw or reprocessable SBF photometry, zero-point and population calibration, bandpass/extinction corrections, covariance and selection functions, and independently measured transient/ruler/environment data. Those additional measurements are not present in this release. In particular, no void-density or potential information was used to fit the reported redshift coefficient.</w:t>
      </w:r>
    </w:p>
    <w:p>
      <w:pPr>
        <w:pStyle w:val="Heading1"/>
        <w:pageBreakBefore/>
      </w:pPr>
      <w:r>
        <w:t>References</w:t>
      </w:r>
    </w:p>
    <w:p>
      <w:pPr>
        <w:pStyle w:val="Reference"/>
      </w:pPr>
      <w:r>
        <w:t>[1] Tully, R. B., et al. Cosmicflows-4. Astrophysical Journal 944, 94 (2023). arXiv:2209.11238. Catalog: CDS J/ApJ/944/94, table2.dat. https://arxiv.org/abs/2209.11238</w:t>
      </w:r>
    </w:p>
    <w:p>
      <w:pPr>
        <w:pStyle w:val="Reference"/>
      </w:pPr>
      <w:r>
        <w:t>[2] Blakeslee, J. P., Jensen, J. B., Ma, C.-P., Milne, P. A., and Greene, J. E. The Hubble Constant from Infrared Surface Brightness Fluctuation Distances. Astrophysical Journal 911, 65 (2021). https://arxiv.org/abs/2101.02221</w:t>
      </w:r>
    </w:p>
    <w:p>
      <w:pPr>
        <w:pStyle w:val="Reference"/>
      </w:pPr>
      <w:r>
        <w:t>[3] Hogg, D. W. Distance measures in cosmology (1999; revised 2000). https://arxiv.org/abs/astro-ph/9905116</w:t>
      </w:r>
    </w:p>
    <w:p>
      <w:pPr>
        <w:pStyle w:val="Reference"/>
      </w:pPr>
      <w:r>
        <w:t>[4] Broadband frequency translation through time refraction in an epsilon-near-zero material. Nature Communications 11 (2020). DOI:10.1038/s41467-020-15682-2. https://www.nature.com/articles/s41467-020-15682-2</w:t>
      </w:r>
    </w:p>
    <w:p>
      <w:pPr>
        <w:pStyle w:val="Reference"/>
      </w:pPr>
      <w:r>
        <w:t>[5] Tong, D. General Relativity, chapter 1: Geodesics in Spacetime, gravitational time dilation and redshift. https://www.davidtong.org/teaching/general-relativity/grhtml/S1</w:t>
      </w:r>
    </w:p>
    <w:p>
      <w:pPr>
        <w:pStyle w:val="Reference"/>
      </w:pPr>
      <w:r>
        <w:t>[6] Preserved analysis: Time replacing expansion: expanded holdout test, 8 September 2026. Distributed source archive time-redshift-expanded.zip; not an externally peer-reviewed publication.</w:t>
      </w:r>
    </w:p>
    <w:p>
      <w:pPr>
        <w:pStyle w:val="Reference"/>
      </w:pPr>
      <w:r>
        <w:t>[7] White, R. M. T., et al. DES Supernova Program: Slow supernovae show cosmological time dilation out to z~1 (2024). https://arxiv.org/abs/2406.05050 . Derived widths and code: https://github.com/ryanwhite1/DES-Time-Dilation</w:t>
      </w:r>
    </w:p>
    <w:p>
      <w:pPr>
        <w:pStyle w:val="Reference"/>
      </w:pPr>
      <w:r>
        <w:t>[8] Fixsen, D. J., et al. (1996), with the NASA LAMBDA FIRAS monopole release. Product documentation: https://lambda.gsfc.nasa.gov/product/cobe/firas_monopole_spect.html . Data: https://lambda.gsfc.nasa.gov/data/cobe/firas/monopole_spec/firas_monopole_spec_v1.txt</w:t>
      </w:r>
    </w:p>
    <w:p>
      <w:pPr>
        <w:pStyle w:val="Reference"/>
      </w:pPr>
      <w:r>
        <w:t>[9] Fixsen, D. J. The Temperature of the Cosmic Microwave Background (2009). https://arxiv.org/abs/0911.1955</w:t>
      </w:r>
    </w:p>
    <w:p>
      <w:pPr>
        <w:pStyle w:val="Reference"/>
      </w:pPr>
      <w:r>
        <w:t>[10] Lange, R., et al. Improved Limits for Violations of Local Position Invariance from Atomic Clock Comparisons (2021). https://doi.org/10.1103/PhysRevLett.126.011102</w:t>
      </w:r>
    </w:p>
    <w:p>
      <w:pPr>
        <w:pStyle w:val="Reference"/>
      </w:pPr>
      <w:r>
        <w:t>[11] Riechers, D. A., et al. Microwave Background Temperature at a Redshift of 6.34 from H2O Absorption (2022). https://arxiv.org/abs/2202.00693</w:t>
      </w:r>
    </w:p>
    <w:p>
      <w:pPr>
        <w:pStyle w:val="Reference"/>
      </w:pPr>
      <w:r>
        <w:t>[12] Planck Collaboration. Planck 2018 results. VII. Isotropy and Statistics of the CMB. https://arxiv.org/abs/1906.02552</w:t>
      </w:r>
    </w:p>
    <w:p>
      <w:r>
        <w:br w:type="page"/>
      </w:r>
    </w:p>
    <w:p>
      <w:pPr>
        <w:pStyle w:val="Heading1"/>
      </w:pPr>
      <w:r>
        <w:t>Appendix C. Candidate comparisons with real observations</w:t>
      </w:r>
    </w:p>
    <w:p>
      <w:pPr/>
      <w:r>
        <w:t>This extension retains each proposed formula as a separate branch of a fictional, nonexpanding universe. Agreement, discrepancy and missing predictions are recorded independently. The calculations below use processed observational data and published measurement summaries; the connected-field calculation is synthetic. Redshift and rotation samples were examined previously, so these are exploratory evaluations on the preserved splits, not new blind tests. The accompanying candidate_comparison_report.md and temporal_candidate_audit.zip contain the full methods, scores, source inventory and reproduction files.</w:t>
      </w:r>
    </w:p>
    <w:p>
      <w:pPr>
        <w:pStyle w:val="Heading2"/>
      </w:pPr>
      <w:r>
        <w:t>C.1 Redshift, direction and source environment</w:t>
      </w:r>
    </w:p>
    <w:p>
      <w:pPr/>
      <w:r>
        <w:t>Six variants were fitted on the original 104 training groups and evaluated on the 35 validation and 25 reserved groups. With S=1+z and brightness distance D_L, the exponential full-signal branch uses S=exp(κR), D_L=RS; the homogeneous rolling-history shape uses S=1+κR, D_L=RS; the energy-loss-only branch uses S=exp(κR), D_L=R√S. These flux relations define phenomenological variants and have not been derived for the connected screened-field model. The corresponding reserved root-mean-square redshift errors, expressed as cΔz, are 412.44, 411.54 and 413.47 km/s. The original expanding reference remains at 411.93 km/s [1].</w:t>
      </w:r>
    </w:p>
    <w:p>
      <w:pPr/>
      <w:r>
        <w:t>The 0.91 km/s improvement of the rolling shape over the exponential shape is inconclusive: a descriptive sky-tile bootstrap interval for the difference is −3.58 to +1.55 km/s. A four-parameter directional rate k(n̂)=k₀ exp(a·n̂) gives 419.44 km/s. A two-parameter rate depending on standardized log catalog group membership gives 460.11 km/s. An added three-component bulk-velocity term gives 404.73 km/s, but worsens validation performance and has a broad bootstrap interval. None establishes a new directional or environmental law.</w:t>
      </w:r>
    </w:p>
    <w:p>
      <w:pPr/>
      <w:r>
        <w:t>The source-group proxy counts catalog entries sharing a group identifier. It is selection dependent and does not measure mass density along a light ray. Its adverse reserved result is a limitation of that extension, not a test excluding foreground screening. Pros of the simple branches are their small parameter count and comparable nearby predictions; cons are distance-calibration dependence and their lack of a unique physical derivation. A genuine path-screening comparison still requires foreground matter information and a derived flux law.</w:t>
      </w:r>
    </w:p>
    <w:p>
      <w:pPr>
        <w:pStyle w:val="Heading2"/>
      </w:pPr>
      <w:r>
        <w:t>C.2 Whole-signal stretching</w:t>
      </w:r>
    </w:p>
    <w:p>
      <w:pPr/>
      <w:r>
        <w:t>Refitting the 1,504 exported DES event averages gives a duration exponent b=1.00288±0.00483 in w=(1+z)^b, with formal diagonal-error uncertainty. Refitting 35 published spectral-aging measurements gives b=0.96644±0.10402 in a=(1+z)^(−b). For the spectral measurements, χ² is 26.95 at b=1 and 150.57 at b=0. These reproduce the prior derived-data results. The whole-signal branches meet this observable requirement; the energy-loss-only branch needs an additional duration mechanism [7,13].</w:t>
      </w:r>
    </w:p>
    <w:p>
      <w:pPr/>
      <w:r>
        <w:t>The measurements inherit template and calibration assumptions. DES reference widths are partly a consistency test, and the spectral method also uses calibrated templates. The tests do not distinguish two mechanisms that both predict b=1. No extreme-tail significance or new independent discovery is inferred from these diagonal-error comparisons.</w:t>
      </w:r>
    </w:p>
    <w:p>
      <w:pPr>
        <w:pStyle w:val="Heading2"/>
      </w:pPr>
      <w:r>
        <w:t>C.3 Light, gravity and clocks</w:t>
      </w:r>
    </w:p>
    <w:p>
      <w:pPr/>
      <w:r>
        <w:t>GW170817 and GRB170817A have a published gamma-ray minus gravitational-wave arrival delay of 1.74±0.05 seconds [14]. In the homogeneous n=exp(γt) branch normalized to n=1 at photon reception, a simultaneous gravitational signal traveling at constant c arrives later by R/c−ln(1+γR/c)/γ. At illustrative distances of 30, 40 and 50 Mpc, the differences are approximately 368,000, 654,000 and 1,020,000 years. These are conditional calculations, not a reanalysis of the source distance in modified gravity. They expose a substantial discrepancy for this light-only branch.</w:t>
      </w:r>
    </w:p>
    <w:p>
      <w:pPr/>
      <w:r>
        <w:t>Identical light and gravitational-wave propagation removes their differential propagation delay by construction. Under n_GW=exp(pγt), a chosen 10-second delay allowance near p=1 at 40 Mpc requires |p−1| of about 4.83×10⁻¹³ in this particular history. This is a sensitivity estimate, not a measured confidence interval. Shared propagation remains a useful extension, with the cost that its gravitational coupling and material-clock behavior must be derived consistently.</w:t>
      </w:r>
    </w:p>
    <w:p>
      <w:pPr/>
      <w:r>
        <w:t>Galileo measurements give a fractional deviation from ordinary gravitational redshift of (0.19±2.48)×10⁻⁵ [15]. Separately, explicitly assuming α̇/α=q_eff γ and using the published atomic-frequency comparison yields an approximate |q_eff| requirement below 4.08×10⁻⁸ [10]. A millionfold suppression is insufficient if the intrinsic α coupling is unity, whereas 10⁻⁸ suppression gives a predicted drift within the quoted uncertainty. These constraints apply to the specified couplings, not to every universal rescaling of time; α may remain constant in other constitutive completions.</w:t>
      </w:r>
    </w:p>
    <w:p>
      <w:pPr>
        <w:pStyle w:val="Heading2"/>
      </w:pPr>
      <w:r>
        <w:t>C.4 Microwave spectrum, temperature and angular structure</w:t>
      </w:r>
    </w:p>
    <w:p>
      <w:pPr/>
      <w:r>
        <w:t>The 43-channel FIRAS residual reanalysis gives approximate χ²=45.02 for a single thermal spectrum with temperature and Galactic-template nuisance parameters. Equal-weight mixtures at temperatures T(1±δ) give 45.03 for δ=0.001, 46.51 for δ=0.003, and 235.84 for δ=0.01. These diagonal-error fits constrain the chosen mixture of received temperatures; they are not general bounds on thermalization or a new absolute CMB-temperature measurement [8]. Coherent temporal cooling remains attractive because it can preserve an existing thermal occupation distribution. Its limitation is that it does not explain the initial radiation or select its temperature.</w:t>
      </w:r>
    </w:p>
    <w:p>
      <w:pPr/>
      <w:r>
        <w:t>At z=6.34, the published HFLS3 excitation analysis gives 16.4–30.2 K at one sigma. T(z)=2.72548(1+z) predicts 20.005 K, whereas a locally constant 2.72548 K branch lies outside that interval [9,11]. This comparison inherits the source-excitation and molecular-physics assumptions. The screened optical model must also derive the received intensity: in a homogeneous fixed-volume medium with ω=ck/n, mode counting gives uγ proportional to n³T⁴, not the vacuum coefficient held unchanged.</w:t>
      </w:r>
    </w:p>
    <w:p>
      <w:pPr/>
      <w:r>
        <w:t>New official Planck bandpower downloads contain 83 TT and 66 EE measurements. Of these, 81 TT bins and 46 EE bins exceed zero by five quoted errors. A strictly homogeneous scalar acting on an initially uniform, unpolarized sky leaves those fluctuations unexplained. Its diagonal χ² diagnostics are about 715,129 and 54,425; the released fitted reference curves give 65.12 and 62.90. These are not the full Planck likelihood and are not converted to extreme-sigma claims [17].</w:t>
      </w:r>
    </w:p>
    <w:p>
      <w:pPr/>
      <w:r>
        <w:t>The binned spectra begin near multipole 48, discard orientation information, and cannot test quadrupole–octopole alignment. A preferred-axis or spherical-topology branch is retained, but no axis fit is claimed. It requires explicit direction, amplitude, angular covariance and polarization predictions. Matching the mean temperature alone does not meet those requirements [12].</w:t>
      </w:r>
    </w:p>
    <w:p>
      <w:pPr>
        <w:pStyle w:val="Heading2"/>
      </w:pPr>
      <w:r>
        <w:t>C.5 Galaxy rotation and density suppression</w:t>
      </w:r>
    </w:p>
    <w:p>
      <w:pPr/>
      <w:r>
        <w:t>Two new SPARC templates use v_pred²=v_bar²[1+B/(1+(Σ_star/Σ_*)^q)], with Σ_star=0.5 SB_disk+0.7 SB_bulge. This is stellar surface density, not gas-inclusive volume density. Parameters were fitted on the original 89 training galaxies; quality cuts, mass-to-light ratios, inclinations and distances were held fixed. On the original 31 reserved galaxies, the q=1 version gives a galaxy-weighted speed RMSE of 29.25 km/s and the fitted-q version 28.19 km/s. The baryonic baseline gives 47.77, the earlier acceleration-power branch 17.20, and the RAR benchmark 16.40 km/s [16].</w:t>
      </w:r>
    </w:p>
    <w:p>
      <w:pPr/>
      <w:r>
        <w:t>The density templates improve substantially on the baseline but underperform acceleration dependence. The fitted-q minus power log-RMSE difference has a descriptive galaxy-bootstrap interval of +0.00255 to +0.02678 dex. Power versus RAR remains inconclusive. The 11-galaxy subset with non-Hubble distance methods preserves the same broad ranking. These are empirical force-enhancement templates; they do not establish a pure apparent-clock explanation or follow from the optical field equations.</w:t>
      </w:r>
    </w:p>
    <w:p>
      <w:pPr/>
      <w:r>
        <w:t>Two consistency requirements remain. A common wavelength multiplier on approaching and receding sides cancels in normalized Doppler splitting, so a timing explanation must derive the actual spectroscopic observable. Also g_extra=A a_K(g_bar/a_K)^p, with a_K=c²κ, contains a free amplitude that absorbs a change in κ. Consequently, the present use of the redshift scale does not independently unify rotation and redshift. The earlier cliff extension remains archived, with its coefficient reaching the imposed upper bound in every fold; no new lensing calculation is claimed.</w:t>
      </w:r>
    </w:p>
    <w:p>
      <w:pPr>
        <w:pStyle w:val="Heading2"/>
      </w:pPr>
      <w:r>
        <w:t>C.6 Connected fields and conserved energy</w:t>
      </w:r>
    </w:p>
    <w:p>
      <w:pPr/>
      <w:r>
        <w:t>A new synthetic calculation joins dense regions and a void in a periodic one-dimensional box. Two fields have positive kinetic, gradient and quadratic coupling energies. A density-dependent term suppresses the optical field χ. A finite-width ray surrogate has Hamiltonian Hγ=p exp(−χbar), with χbar a Gaussian field average of fixed width 0.02 box lengths. Differentiating the same Hamiltonian supplies the ray equations and energy deposited in the fields. This is an effective numerical model, not a covariant electromagnetic or gravitational action.</w:t>
      </w:r>
    </w:p>
    <w:p>
      <w:pPr/>
      <w:r>
        <w:t>At 321 sites per field, the negligible-backreaction frequency stretch is 1.003080703 and the pulse stretch 1.003080705, agreeing relatively to about 2×10⁻⁹. The redshift changes by about 0.19% between 161 and 321 sites. With an initial packet energy of 0.1% or 10% of the field energy, the 321-site factors become 1.00335034 and 1.02987139. Photon energy decreases while the combined field-plus-packet energy is conserved to below 10⁻¹² relatively in these runs. The higher-backreaction redshift still changes about 2.1% under the last grid refinement.</w:t>
      </w:r>
    </w:p>
    <w:p>
      <w:pPr/>
      <w:r>
        <w:t>The benefit is a concrete conservative mechanism producing redshift and matching event stretching across an inhomogeneous connected system. The limitations are equally concrete: the physical field-energy scale and packet prescription are uncalibrated; matter motion, gravity and atomic clocks are absent; and shifts depend on epoch. At later launch time 40 in the same dimensionless system, the 161-site factor is 0.99647533, a blueshift. A stable finite-epoch mechanism is therefore demonstrated, while a perpetual monotonic cosmic history is not. The initial grid-tied packet variant and the corrected fixed-width variant are both retained in the archive.</w:t>
      </w:r>
    </w:p>
    <w:p>
      <w:pPr>
        <w:pStyle w:val="Heading2"/>
      </w:pPr>
      <w:r>
        <w:t>C.7 Interpretation and remaining predictions</w:t>
      </w:r>
    </w:p>
    <w:p>
      <w:pPr/>
      <w:r>
        <w:t>Every branch is retained with its strengths, discrepancies and required extensions. The completed work consists of the specified observational comparisons and the connected mathematical experiment. It does not include a full foreground-path screening fit, an orientation-sensitive CMB map likelihood, a derived lensing law or a complete microwave-radiation origin model, because those predictions remain undefined. A later extension must preserve its predecessor and state what additional freedom it introduces. The full report and reproducibility package provide the candidate scorecard, exact parameters, per-object predictions, source data and verification results.</w:t>
      </w:r>
    </w:p>
    <w:p>
      <w:pPr>
        <w:pStyle w:val="Heading2"/>
      </w:pPr>
      <w:r>
        <w:t>Additional references for Appendix C</w:t>
      </w:r>
    </w:p>
    <w:p>
      <w:pPr>
        <w:pStyle w:val="Reference"/>
      </w:pPr>
      <w:r>
        <w:t>[13] Blondin, S., et al. Time Dilation in Type Ia Supernova Spectra at High Redshift (2008), Table 3. https://arxiv.org/abs/0804.3595</w:t>
      </w:r>
    </w:p>
    <w:p>
      <w:pPr>
        <w:pStyle w:val="Reference"/>
      </w:pPr>
      <w:r>
        <w:t>[14] LIGO Scientific Collaboration et al. Gravitational Waves and Gamma-rays from a Binary Neutron Star Merger: GW170817 and GRB170817A (2017). https://arxiv.org/abs/1710.05834</w:t>
      </w:r>
    </w:p>
    <w:p>
      <w:pPr>
        <w:pStyle w:val="Reference"/>
      </w:pPr>
      <w:r>
        <w:t>[15] Delva, P., et al. Gravitational Redshift Test Using Eccentric Galileo Satellites (2018). https://doi.org/10.1103/PhysRevLett.121.231101</w:t>
      </w:r>
    </w:p>
    <w:p>
      <w:pPr>
        <w:pStyle w:val="Reference"/>
      </w:pPr>
      <w:r>
        <w:t>[16] Lelli, F., McGaugh, S. S., and Schombert, J. M. SPARC: Mass Models for 175 Disk Galaxies (2016). https://arxiv.org/abs/1606.09251</w:t>
      </w:r>
    </w:p>
    <w:p>
      <w:pPr>
        <w:pStyle w:val="Reference"/>
      </w:pPr>
      <w:r>
        <w:t>[17] Planck Collaboration. Planck 2018 results. V. CMB power spectra and likelihoods (2020). https://doi.org/10.1051/0004-6361/201936386 . Official products: COM_PowerSpect_CMB-TT-binned_R3.01.txt and COM_PowerSpect_CMB-EE-binned_R3.02.txt, https://pla.esac.esa.int/ .</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TEMPORAL TRANSPORT  |  RESEARCH HYPOTHESIS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pPr>
    <w:rPr>
      <w:rFonts w:ascii="Cambria" w:hAnsi="Cambria"/>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60" w:line="264" w:lineRule="auto"/>
      <w:outlineLvl w:val="0"/>
    </w:pPr>
    <w:rPr>
      <w:rFonts w:ascii="Cambria" w:hAnsi="Cambria"/>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240" w:after="120" w:line="264" w:lineRule="auto"/>
      <w:outlineLvl w:val="1"/>
    </w:pPr>
    <w:rPr>
      <w:rFonts w:ascii="Cambria" w:hAnsi="Cambria"/>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160" w:after="80" w:line="264" w:lineRule="auto"/>
      <w:outlineLvl w:val="2"/>
    </w:pPr>
    <w:rPr>
      <w:rFonts w:ascii="Cambria" w:hAnsi="Cambria"/>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60" w:line="264" w:lineRule="auto" w:before="0"/>
      <w:contextualSpacing/>
    </w:pPr>
    <w:rPr>
      <w:rFonts w:ascii="Cambria" w:hAnsi="Cambria"/>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160" w:line="264" w:lineRule="auto"/>
    </w:pPr>
    <w:rPr>
      <w:rFonts w:ascii="Cambria" w:hAnsi="Cambria"/>
      <w:b w:val="0"/>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64" w:lineRule="auto" w:before="80" w:after="80"/>
    </w:pPr>
    <w:rPr>
      <w:rFonts w:ascii="Cambria" w:hAnsi="Cambria"/>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pPr>
      <w:widowControl/>
      <w:spacing w:before="80" w:after="80" w:line="264" w:lineRule="auto"/>
    </w:pPr>
    <w:rPr>
      <w:rFonts w:ascii="Cambria Math" w:hAnsi="Cambria Math"/>
      <w:b w:val="0"/>
      <w:color w:val="000000"/>
      <w:sz w:val="22"/>
    </w:rPr>
  </w:style>
  <w:style w:type="paragraph" w:customStyle="1" w:styleId="Data">
    <w:name w:val="Data"/>
    <w:pPr>
      <w:widowControl/>
      <w:spacing w:before="0" w:after="80" w:line="264" w:lineRule="auto"/>
    </w:pPr>
    <w:rPr>
      <w:rFonts w:ascii="Cambria" w:hAnsi="Cambria"/>
      <w:b w:val="0"/>
      <w:color w:val="000000"/>
      <w:sz w:val="18"/>
    </w:rPr>
  </w:style>
  <w:style w:type="paragraph" w:customStyle="1" w:styleId="Reference">
    <w:name w:val="Reference"/>
    <w:pPr>
      <w:widowControl/>
      <w:spacing w:before="0" w:after="80" w:line="264" w:lineRule="auto"/>
    </w:pPr>
    <w:rPr>
      <w:rFonts w:ascii="Cambria" w:hAnsi="Cambria"/>
      <w:b w:val="0"/>
      <w:color w:val="00000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Temporal Transport in a Non-Expanding Universe</dc:title>
  <dc:subject>Conditional redshift mechanism and reproducible empirical test</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