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Temporal–Companion Transport</w:t>
        <w:br/>
        <w:t>in a Nonexpanding Universe</w:t>
      </w:r>
    </w:p>
    <w:p>
      <w:pPr>
        <w:pStyle w:val="Subtitle"/>
      </w:pPr>
      <w:r>
        <w:t>A unified effective framework for redshift, wave-energy transfer,</w:t>
        <w:br/>
        <w:t>and extended gravitational deposits</w:t>
      </w:r>
    </w:p>
    <w:p>
      <w:pPr>
        <w:pStyle w:val="SourceNote"/>
      </w:pPr>
      <w:r>
        <w:t>Version 9 • 9 September 2026 • Alternate-universe research hypothesis</w:t>
      </w:r>
    </w:p>
    <w:p>
      <w:pPr>
        <w:pStyle w:val="Heading1"/>
        <w:pageBreakBefore w:val="0"/>
      </w:pPr>
      <w:r>
        <w:t>Abstract</w:t>
      </w:r>
    </w:p>
    <w:p>
      <w:r>
        <w:t>We propose one physical narrative for a fictional universe with fixed material spatial geometry: a slowly evolving propagation field lowers photon frequencies relative to material clocks; the released energy excites companion waves; capture and retention of that energy produce an extended gravitational source. Photon survival and coherent propagation connect spectral redshift to signal duration and brightness. A homogeneous history dn/dt = γnᵖ gives R = [(1 + z)ᵖ − 1]/(κp), luminosity distance D_L = (1 + z)R, and angular distance D_A = R under specified matter and ray assumptions. With κ fixed at 7.7315 × 10⁻⁵ per million light-years, a fitted exponent p = 0.263906 improves the existing 960-supernova brightness comparison from χ² = 898.5 to 850.2; the fixed expanding reference remains lower at 838.5.</w:t>
      </w:r>
    </w:p>
    <w:p>
      <w:r>
        <w:t>The gravitational part is represented by a positive cored source, ρ_X = V_X²/[4πG(r² + r_c²)], whose normalization and core radius are predicted from galaxy luminosity and disk size. Four constants fitted on 89 galaxies reduce the velocity RMSE on a previously exposed 31-galaxy comparison subset from 47.8 to 14.8 km/s, without object-specific halo fitting. A separate acceleration prescription transfers to 11 clusters only with additional source strength, requiring a median factor of 1.90 relative to its galaxy prediction. These are empirical fits, not evidence that the inferred sources consist of companion waves.</w:t>
      </w:r>
    </w:p>
    <w:p>
      <w:r>
        <w:t>This paper combines the propagation, conversion, transport, capture and gravitational-response modules into a single energy-accounting framework. It also identifies their unsolved interfaces: a microscopic interaction preserving acceptable atomic and cavity behavior, enough energy and retention to produce the deposits, and stable nonexpanding gravitational dynamics. The explicit earlier electromagnetic interaction fails exact atomic invariance. Shared photon–tensor propagation is a replacement requirement, not a completed derivation. The fitted halo profile and redshift history remain separately calibrated; no numerical relation between their coefficients has yet been derived.</w:t>
      </w:r>
    </w:p>
    <w:p>
      <w:pPr>
        <w:pStyle w:val="Heading1"/>
        <w:pageBreakBefore w:val="0"/>
      </w:pPr>
      <w:r>
        <w:t>1. The proposed physical cycle</w:t>
      </w:r>
    </w:p>
    <w:p>
      <w:r>
        <w:t>Stars emit photons using local material energy. Photons remain photons as they propagate, but their energy decreases through the evolving field. In the principal working branch, that energy initially enters a companion-wave channel. Companions propagate, may exchange further energy with the timing field, and may be captured into a long-lived distributed deposit. The deposit contributes to the gravitational potential and can alter stellar orbits and matter assembly. This is a unified hypothesis about interacting sectors, rather than a claim that one fitted equation already determines all of them.</w:t>
      </w:r>
    </w:p>
    <w:p>
      <w:pPr>
        <w:pStyle w:val="Heading1"/>
        <w:pageBreakBefore/>
        <w:spacing w:before="0"/>
      </w:pPr>
      <w:r>
        <w:t>2. One propagation rule and its observables</w:t>
      </w:r>
    </w:p>
    <w:p>
      <w:r>
        <w:t>Let t be material-clock time, c₀ the present reference propagation speed, and n(t) a positive, homogeneous propagation index with n(tₒ) = 1. Local atomic transition frequencies and material lengths are held fixed as a working phenomenological choice. The consistency of that choice with a microscopic interaction is tested in Section 9. In the flat static material geometry used for the primary fits, an adiabatic photon mode conserves spatial wave number k:</w:t>
      </w:r>
    </w:p>
    <w:p>
      <w:pPr>
        <w:pStyle w:val="Equation"/>
      </w:pPr>
      <m:oMath>
        <m:sSub>
          <m:e>
            <m:r>
              <m:t>ω</m:t>
            </m:r>
          </m:e>
          <m:sub>
            <m:r>
              <m:t>γ</m:t>
            </m:r>
          </m:sub>
        </m:sSub>
        <m:r>
          <m:t> </m:t>
        </m:r>
        <m:r>
          <m:t>=</m:t>
        </m:r>
        <m:r>
          <m:t> </m:t>
        </m:r>
        <m:sSub>
          <m:e>
            <m:r>
              <m:t>c</m:t>
            </m:r>
          </m:e>
          <m:sub>
            <m:r>
              <m:t>0</m:t>
            </m:r>
          </m:sub>
        </m:sSub>
        <m:r>
          <m:t>k</m:t>
        </m:r>
        <m:r>
          <m:t>/</m:t>
        </m:r>
        <m:r>
          <m:t>n</m:t>
        </m:r>
        <m:r>
          <m:t>(</m:t>
        </m:r>
        <m:r>
          <m:t>t</m:t>
        </m:r>
        <m:r>
          <m:t>)</m:t>
        </m:r>
        <m:r>
          <m:t>,</m:t>
        </m:r>
        <m:r>
          <m:t> </m:t>
        </m:r>
        <m:r>
          <m:t> </m:t>
        </m:r>
        <m:r>
          <m:t> </m:t>
        </m:r>
        <m:r>
          <m:t> </m:t>
        </m:r>
        <m:r>
          <m:t> </m:t>
        </m:r>
        <m:sSub>
          <m:e>
            <m:r>
              <m:t>v</m:t>
            </m:r>
          </m:e>
          <m:sub>
            <m:r>
              <m:t>γ</m:t>
            </m:r>
          </m:sub>
        </m:sSub>
        <m:r>
          <m:t> </m:t>
        </m:r>
        <m:r>
          <m:t>=</m:t>
        </m:r>
        <m:r>
          <m:t> </m:t>
        </m:r>
        <m:sSub>
          <m:e>
            <m:r>
              <m:t>c</m:t>
            </m:r>
          </m:e>
          <m:sub>
            <m:r>
              <m:t>0</m:t>
            </m:r>
          </m:sub>
        </m:sSub>
        <m:r>
          <m:t>/</m:t>
        </m:r>
        <m:r>
          <m:t>n</m:t>
        </m:r>
        <m:r>
          <m:t>(</m:t>
        </m:r>
        <m:r>
          <m:t>t</m:t>
        </m:r>
        <m:r>
          <m:t>)</m:t>
        </m:r>
        <m:r>
          <m:t>,</m:t>
        </m:r>
        <m:r>
          <m:t> </m:t>
        </m:r>
        <m:r>
          <m:t> </m:t>
        </m:r>
        <m:r>
          <m:t> </m:t>
        </m:r>
        <m:r>
          <m:t> </m:t>
        </m:r>
        <m:r>
          <m:t> </m:t>
        </m:r>
        <m:r>
          <m:t>d</m:t>
        </m:r>
        <m:r>
          <m:t>n</m:t>
        </m:r>
        <m:r>
          <m:t>/</m:t>
        </m:r>
        <m:r>
          <m:t>d</m:t>
        </m:r>
        <m:r>
          <m:t>t</m:t>
        </m:r>
        <m:r>
          <m:t> </m:t>
        </m:r>
        <m:r>
          <m:t>=</m:t>
        </m:r>
        <m:r>
          <m:t> </m:t>
        </m:r>
        <m:r>
          <m:t>γ</m:t>
        </m:r>
        <m:sSup>
          <m:e>
            <m:r>
              <m:t>n</m:t>
            </m:r>
          </m:e>
          <m:sup>
            <m:r>
              <m:t>p</m:t>
            </m:r>
          </m:sup>
        </m:sSup>
        <m:r>
          <m:t>,</m:t>
        </m:r>
        <m:r>
          <m:t> </m:t>
        </m:r>
        <m:r>
          <m:t> </m:t>
        </m:r>
        <m:r>
          <m:t> </m:t>
        </m:r>
        <m:r>
          <m:t> </m:t>
        </m:r>
        <m:r>
          <m:t> </m:t>
        </m:r>
        <m:r>
          <m:t>κ</m:t>
        </m:r>
        <m:r>
          <m:t> </m:t>
        </m:r>
        <m:r>
          <m:t>=</m:t>
        </m:r>
        <m:r>
          <m:t> </m:t>
        </m:r>
        <m:r>
          <m:t>γ</m:t>
        </m:r>
        <m:r>
          <m:t>/</m:t>
        </m:r>
        <m:sSub>
          <m:e>
            <m:r>
              <m:t>c</m:t>
            </m:r>
          </m:e>
          <m:sub>
            <m:r>
              <m:t>0</m:t>
            </m:r>
          </m:sub>
        </m:sSub>
        <m:r>
          <m:t>.</m:t>
        </m:r>
      </m:oMath>
      <w:r>
        <w:t xml:space="preserve">    (1)</w:t>
      </w:r>
    </w:p>
    <w:p>
      <w:r>
        <w:t>An atom emits at the same reference frequency as the receiving atom. Writing S = 1 + z, frequency transport gives S = nₒ/nₑ. A fixed separation obeys R = ∫c₀dt/n. Differentiating that integral at its endpoints gives the interval stretch dtₒ/dtₑ = S. Color and duration therefore follow from the same ray equation rather than two independently assigned corrections.</w:t>
      </w:r>
    </w:p>
    <w:p>
      <w:pPr>
        <w:pStyle w:val="Equation"/>
      </w:pPr>
      <m:oMath>
        <m:r>
          <m:t>S</m:t>
        </m:r>
        <m:r>
          <m:t> </m:t>
        </m:r>
        <m:r>
          <m:t>=</m:t>
        </m:r>
        <m:r>
          <m:t> </m:t>
        </m:r>
        <m:sSub>
          <m:e>
            <m:r>
              <m:t>n</m:t>
            </m:r>
          </m:e>
          <m:sub>
            <m:r>
              <m:t>o</m:t>
            </m:r>
          </m:sub>
        </m:sSub>
        <m:r>
          <m:t>/</m:t>
        </m:r>
        <m:sSub>
          <m:e>
            <m:r>
              <m:t>n</m:t>
            </m:r>
          </m:e>
          <m:sub>
            <m:r>
              <m:t>e</m:t>
            </m:r>
          </m:sub>
        </m:sSub>
        <m:r>
          <m:t> </m:t>
        </m:r>
        <m:r>
          <m:t>=</m:t>
        </m:r>
        <m:r>
          <m:t> </m:t>
        </m:r>
        <m:r>
          <m:t>d</m:t>
        </m:r>
        <m:sSub>
          <m:e>
            <m:r>
              <m:t>t</m:t>
            </m:r>
          </m:e>
          <m:sub>
            <m:r>
              <m:t>o</m:t>
            </m:r>
          </m:sub>
        </m:sSub>
        <m:r>
          <m:t>/</m:t>
        </m:r>
        <m:r>
          <m:t>d</m:t>
        </m:r>
        <m:sSub>
          <m:e>
            <m:r>
              <m:t>t</m:t>
            </m:r>
          </m:e>
          <m:sub>
            <m:r>
              <m:t>e</m:t>
            </m:r>
          </m:sub>
        </m:sSub>
        <m:r>
          <m:t>,</m:t>
        </m:r>
        <m:r>
          <m:t> </m:t>
        </m:r>
        <m:r>
          <m:t> </m:t>
        </m:r>
        <m:r>
          <m:t> </m:t>
        </m:r>
        <m:r>
          <m:t> </m:t>
        </m:r>
        <m:r>
          <m:t> </m:t>
        </m:r>
        <m:r>
          <m:t>R</m:t>
        </m:r>
        <m:r>
          <m:t>(</m:t>
        </m:r>
        <m:r>
          <m:t>z</m:t>
        </m:r>
        <m:r>
          <m:t>)</m:t>
        </m:r>
        <m:r>
          <m:t> </m:t>
        </m:r>
        <m:r>
          <m:t>=</m:t>
        </m:r>
        <m:r>
          <m:t> </m:t>
        </m:r>
        <m:r>
          <m:t>[</m:t>
        </m:r>
        <m:sSup>
          <m:e>
            <m:r>
              <m:t>S</m:t>
            </m:r>
          </m:e>
          <m:sup>
            <m:r>
              <m:t>p</m:t>
            </m:r>
          </m:sup>
        </m:sSup>
        <m:r>
          <m:t> </m:t>
        </m:r>
        <m:r>
          <m:t>−</m:t>
        </m:r>
        <m:r>
          <m:t> </m:t>
        </m:r>
        <m:r>
          <m:t>1</m:t>
        </m:r>
        <m:r>
          <m:t>]</m:t>
        </m:r>
        <m:r>
          <m:t>/</m:t>
        </m:r>
        <m:r>
          <m:t>(</m:t>
        </m:r>
        <m:r>
          <m:t>κ</m:t>
        </m:r>
        <m:r>
          <m:t>p</m:t>
        </m:r>
        <m:r>
          <m:t>)</m:t>
        </m:r>
        <m:r>
          <m:t>.</m:t>
        </m:r>
      </m:oMath>
      <w:r>
        <w:t xml:space="preserve">    (2)</w:t>
      </w:r>
    </w:p>
    <w:p>
      <w:pPr>
        <w:pStyle w:val="Equation"/>
      </w:pPr>
      <m:oMath>
        <m:r>
          <m:t>p</m:t>
        </m:r>
        <m:r>
          <m:t> </m:t>
        </m:r>
        <m:r>
          <m:t>→</m:t>
        </m:r>
        <m:r>
          <m:t> </m:t>
        </m:r>
        <m:r>
          <m:t>0</m:t>
        </m:r>
        <m:r>
          <m:t>:</m:t>
        </m:r>
        <m:r>
          <m:t> </m:t>
        </m:r>
        <m:r>
          <m:t> </m:t>
        </m:r>
        <m:r>
          <m:t> </m:t>
        </m:r>
        <m:r>
          <m:t> </m:t>
        </m:r>
        <m:r>
          <m:t> </m:t>
        </m:r>
        <m:r>
          <m:t>R</m:t>
        </m:r>
        <m:r>
          <m:t> </m:t>
        </m:r>
        <m:r>
          <m:t>=</m:t>
        </m:r>
        <m:r>
          <m:t> </m:t>
        </m:r>
        <m:r>
          <m:t>l</m:t>
        </m:r>
        <m:r>
          <m:t>n</m:t>
        </m:r>
        <m:r>
          <m:t>(</m:t>
        </m:r>
        <m:r>
          <m:t>S</m:t>
        </m:r>
        <m:r>
          <m:t>)</m:t>
        </m:r>
        <m:r>
          <m:t>/</m:t>
        </m:r>
        <m:r>
          <m:t>κ</m:t>
        </m:r>
        <m:r>
          <m:t>,</m:t>
        </m:r>
        <m:r>
          <m:t> </m:t>
        </m:r>
        <m:r>
          <m:t> </m:t>
        </m:r>
        <m:r>
          <m:t> </m:t>
        </m:r>
        <m:r>
          <m:t> </m:t>
        </m:r>
        <m:r>
          <m:t> </m:t>
        </m:r>
        <m:r>
          <m:t>S</m:t>
        </m:r>
        <m:r>
          <m:t> </m:t>
        </m:r>
        <m:r>
          <m:t>=</m:t>
        </m:r>
        <m:r>
          <m:t> </m:t>
        </m:r>
        <m:r>
          <m:t>e</m:t>
        </m:r>
        <m:r>
          <m:t>x</m:t>
        </m:r>
        <m:r>
          <m:t>p</m:t>
        </m:r>
        <m:r>
          <m:t>(</m:t>
        </m:r>
        <m:r>
          <m:t>κ</m:t>
        </m:r>
        <m:r>
          <m:t>R</m:t>
        </m:r>
        <m:r>
          <m:t>)</m:t>
        </m:r>
        <m:r>
          <m:t>.</m:t>
        </m:r>
      </m:oMath>
      <w:r>
        <w:t xml:space="preserve">    (3)</w:t>
      </w:r>
    </w:p>
    <w:p>
      <w:r>
        <w:t>The original exponential law is thus a limiting history, not an extra energy-loss rule multiplied onto the improved model. The leading history uses p = 0.263906 and γ = 7.7315 × 10⁻¹¹ yr⁻¹. A million light-years corresponds to a present small-distance stretch of about 0.0077%. The value of γ and the exponent are empirical inputs, not quantities derived from fundamental constants.</w:t>
      </w:r>
    </w:p>
    <w:p>
      <w:pPr>
        <w:pStyle w:val="Heading2"/>
      </w:pPr>
      <w:r>
        <w:t>Brightness, angular size and redshift drift</w:t>
      </w:r>
    </w:p>
    <w:p>
      <w:r>
        <w:t>If photons survive, remain in the beam, and encounter Euclidean area spreading, their energy is reduced by S and their arrival rate by S. For emitted bolometric luminosity L measured by the emitter clock:</w:t>
      </w:r>
    </w:p>
    <w:p>
      <w:pPr>
        <w:pStyle w:val="Equation"/>
      </w:pPr>
      <m:oMath>
        <m:r>
          <m:t>F</m:t>
        </m:r>
        <m:r>
          <m:t> </m:t>
        </m:r>
        <m:r>
          <m:t>=</m:t>
        </m:r>
        <m:r>
          <m:t> </m:t>
        </m:r>
        <m:r>
          <m:t>L</m:t>
        </m:r>
        <m:r>
          <m:t>/</m:t>
        </m:r>
        <m:r>
          <m:t>(</m:t>
        </m:r>
        <m:r>
          <m:t>4</m:t>
        </m:r>
        <m:r>
          <m:t>π</m:t>
        </m:r>
        <m:sSup>
          <m:e>
            <m:r>
              <m:t>R</m:t>
            </m:r>
          </m:e>
          <m:sup>
            <m:r>
              <m:t>2</m:t>
            </m:r>
          </m:sup>
        </m:sSup>
        <m:sSup>
          <m:e>
            <m:r>
              <m:t>S</m:t>
            </m:r>
          </m:e>
          <m:sup>
            <m:r>
              <m:t>2</m:t>
            </m:r>
          </m:sup>
        </m:sSup>
        <m:r>
          <m:t>)</m:t>
        </m:r>
        <m:r>
          <m:t>,</m:t>
        </m:r>
        <m:r>
          <m:t> </m:t>
        </m:r>
        <m:r>
          <m:t> </m:t>
        </m:r>
        <m:r>
          <m:t> </m:t>
        </m:r>
        <m:r>
          <m:t> </m:t>
        </m:r>
        <m:r>
          <m:t> </m:t>
        </m:r>
        <m:sSub>
          <m:e>
            <m:r>
              <m:t>D</m:t>
            </m:r>
          </m:e>
          <m:sub>
            <m:r>
              <m:t>L</m:t>
            </m:r>
          </m:sub>
        </m:sSub>
        <m:r>
          <m:t> </m:t>
        </m:r>
        <m:r>
          <m:t>=</m:t>
        </m:r>
        <m:r>
          <m:t> </m:t>
        </m:r>
        <m:r>
          <m:t>S</m:t>
        </m:r>
        <m:r>
          <m:t>R</m:t>
        </m:r>
        <m:r>
          <m:t>,</m:t>
        </m:r>
        <m:r>
          <m:t> </m:t>
        </m:r>
        <m:r>
          <m:t> </m:t>
        </m:r>
        <m:r>
          <m:t> </m:t>
        </m:r>
        <m:r>
          <m:t> </m:t>
        </m:r>
        <m:r>
          <m:t> </m:t>
        </m:r>
        <m:sSub>
          <m:e>
            <m:r>
              <m:t>D</m:t>
            </m:r>
          </m:e>
          <m:sub>
            <m:r>
              <m:t>A</m:t>
            </m:r>
          </m:sub>
        </m:sSub>
        <m:r>
          <m:t> </m:t>
        </m:r>
        <m:r>
          <m:t>=</m:t>
        </m:r>
        <m:r>
          <m:t> </m:t>
        </m:r>
        <m:r>
          <m:t>R</m:t>
        </m:r>
        <m:r>
          <m:t>.</m:t>
        </m:r>
      </m:oMath>
      <w:r>
        <w:t xml:space="preserve">    (4)</w:t>
      </w:r>
    </w:p>
    <w:p>
      <w:r>
        <w:t>These distance laws also assume unchanged source sizes and detector response. They are not standard metric distance duality: the model predicts D_L = S D_A rather than S²D_A. Changing p preserves this distinction. Independent angular-distance tests are therefore essential; a better brightness fit alone does not validate the optical geometry.</w:t>
      </w:r>
    </w:p>
    <w:p>
      <w:pPr>
        <w:pStyle w:val="Equation"/>
      </w:pPr>
      <m:oMath>
        <m:r>
          <m:t>d</m:t>
        </m:r>
        <m:r>
          <m:t>z</m:t>
        </m:r>
        <m:r>
          <m:t>/</m:t>
        </m:r>
        <m:r>
          <m:t>d</m:t>
        </m:r>
        <m:sSub>
          <m:e>
            <m:r>
              <m:t>t</m:t>
            </m:r>
          </m:e>
          <m:sub>
            <m:r>
              <m:t>o</m:t>
            </m:r>
          </m:sub>
        </m:sSub>
        <m:r>
          <m:t> </m:t>
        </m:r>
        <m:r>
          <m:t>=</m:t>
        </m:r>
        <m:r>
          <m:t> </m:t>
        </m:r>
        <m:r>
          <m:t>γ</m:t>
        </m:r>
        <m:r>
          <m:t>[</m:t>
        </m:r>
        <m:sSup>
          <m:e>
            <m:r>
              <m:t>S</m:t>
            </m:r>
          </m:e>
          <m:sup>
            <m:r>
              <m:t>1</m:t>
            </m:r>
            <m:r>
              <m:t>−</m:t>
            </m:r>
            <m:r>
              <m:t>p</m:t>
            </m:r>
          </m:sup>
        </m:sSup>
        <m:r>
          <m:t> </m:t>
        </m:r>
        <m:r>
          <m:t>−</m:t>
        </m:r>
        <m:r>
          <m:t> </m:t>
        </m:r>
        <m:r>
          <m:t>S</m:t>
        </m:r>
        <m:r>
          <m:t>]</m:t>
        </m:r>
        <m:r>
          <m:t> </m:t>
        </m:r>
        <m:r>
          <m:t> </m:t>
        </m:r>
        <m:r>
          <m:t> </m:t>
        </m:r>
        <m:r>
          <m:t> </m:t>
        </m:r>
        <m:r>
          <m:t> </m:t>
        </m:r>
        <m:r>
          <m:t>a</m:t>
        </m:r>
        <m:r>
          <m:t>t</m:t>
        </m:r>
        <m:r>
          <m:t> </m:t>
        </m:r>
        <m:sSub>
          <m:e>
            <m:r>
              <m:t>n</m:t>
            </m:r>
          </m:e>
          <m:sub>
            <m:r>
              <m:t>o</m:t>
            </m:r>
          </m:sub>
        </m:sSub>
        <m:r>
          <m:t> </m:t>
        </m:r>
        <m:r>
          <m:t>=</m:t>
        </m:r>
        <m:r>
          <m:t> </m:t>
        </m:r>
        <m:r>
          <m:t>1</m:t>
        </m:r>
        <m:r>
          <m:t>.</m:t>
        </m:r>
      </m:oMath>
      <w:r>
        <w:t xml:space="preserve">    (5)</w:t>
      </w:r>
    </w:p>
    <w:p>
      <w:r>
        <w:t>For stationary endpoints, p = 0 predicts zero redshift drift; the fitted history predicts −2.58495 × 10⁻¹¹ yr⁻¹ at z = 1. The history gives R = 3.01622 Gpc and D_L = 6.03244 Gpc there, 9.73% larger than the exponential-law distances. These are conditional forecasts. A static fixed-speed photon energy-loss rule would not reproduce the interval stretch and is not the central construction.</w:t>
      </w:r>
    </w:p>
    <w:p>
      <w:pPr>
        <w:pStyle w:val="Heading1"/>
        <w:pageBreakBefore/>
        <w:spacing w:before="0"/>
      </w:pPr>
      <w:r>
        <w:t>3. Photon energy becomes companion energy</w:t>
      </w:r>
    </w:p>
    <w:p>
      <w:r>
        <w:t>For one surviving photon, Eγ = ℏωγ. The homogeneous propagation rule fixes its fractional energy-loss rate hₙ = ṅ/n. Here hₙ is a rate of index evolution, not geometric expansion. Identifying the lost energy with excitation of a companion channel is the new interaction hypothesis; the photon Hamiltonian alone does not specify which degrees of freedom receive it.</w:t>
      </w:r>
    </w:p>
    <w:p>
      <w:pPr>
        <w:pStyle w:val="Equation"/>
      </w:pPr>
      <m:oMath>
        <m:r>
          <m:t>d</m:t>
        </m:r>
        <m:sSub>
          <m:e>
            <m:r>
              <m:t>E</m:t>
            </m:r>
          </m:e>
          <m:sub>
            <m:r>
              <m:t>γ</m:t>
            </m:r>
          </m:sub>
        </m:sSub>
        <m:r>
          <m:t>/</m:t>
        </m:r>
        <m:r>
          <m:t>d</m:t>
        </m:r>
        <m:r>
          <m:t>t</m:t>
        </m:r>
        <m:r>
          <m:t> </m:t>
        </m:r>
        <m:r>
          <m:t>=</m:t>
        </m:r>
        <m:r>
          <m:t> </m:t>
        </m:r>
        <m:r>
          <m:t>−</m:t>
        </m:r>
        <m:sSub>
          <m:e>
            <m:r>
              <m:t>h</m:t>
            </m:r>
          </m:e>
          <m:sub>
            <m:r>
              <m:t>n</m:t>
            </m:r>
          </m:sub>
        </m:sSub>
        <m:sSub>
          <m:e>
            <m:r>
              <m:t>E</m:t>
            </m:r>
          </m:e>
          <m:sub>
            <m:r>
              <m:t>γ</m:t>
            </m:r>
          </m:sub>
        </m:sSub>
        <m:r>
          <m:t>,</m:t>
        </m:r>
        <m:r>
          <m:t> </m:t>
        </m:r>
        <m:r>
          <m:t> </m:t>
        </m:r>
        <m:r>
          <m:t> </m:t>
        </m:r>
        <m:r>
          <m:t> </m:t>
        </m:r>
        <m:r>
          <m:t> </m:t>
        </m:r>
        <m:sSub>
          <m:e>
            <m:r>
              <m:t>Q</m:t>
            </m:r>
          </m:e>
          <m:sub>
            <m:r>
              <m:t>γ</m:t>
            </m:r>
          </m:sub>
        </m:sSub>
        <m:r>
          <m:t> </m:t>
        </m:r>
        <m:r>
          <m:t>=</m:t>
        </m:r>
        <m:r>
          <m:t> </m:t>
        </m:r>
        <m:sSub>
          <m:e>
            <m:r>
              <m:t>h</m:t>
            </m:r>
          </m:e>
          <m:sub>
            <m:r>
              <m:t>n</m:t>
            </m:r>
          </m:sub>
        </m:sSub>
        <m:sSub>
          <m:e>
            <m:r>
              <m:t>u</m:t>
            </m:r>
          </m:e>
          <m:sub>
            <m:r>
              <m:t>γ</m:t>
            </m:r>
          </m:sub>
        </m:sSub>
        <m:r>
          <m:t>,</m:t>
        </m:r>
        <m:r>
          <m:t> </m:t>
        </m:r>
        <m:r>
          <m:t> </m:t>
        </m:r>
        <m:r>
          <m:t> </m:t>
        </m:r>
        <m:r>
          <m:t> </m:t>
        </m:r>
        <m:r>
          <m:t> </m:t>
        </m:r>
        <m:sSub>
          <m:e>
            <m:r>
              <m:t>h</m:t>
            </m:r>
          </m:e>
          <m:sub>
            <m:r>
              <m:t>n</m:t>
            </m:r>
          </m:sub>
        </m:sSub>
        <m:r>
          <m:t> </m:t>
        </m:r>
        <m:r>
          <m:t>=</m:t>
        </m:r>
        <m:r>
          <m:t> </m:t>
        </m:r>
        <m:r>
          <m:t>γ</m:t>
        </m:r>
        <m:sSup>
          <m:e>
            <m:r>
              <m:t>n</m:t>
            </m:r>
          </m:e>
          <m:sup>
            <m:r>
              <m:t>p</m:t>
            </m:r>
            <m:r>
              <m:t>−</m:t>
            </m:r>
            <m:r>
              <m:t>1</m:t>
            </m:r>
          </m:sup>
        </m:sSup>
        <m:r>
          <m:t>.</m:t>
        </m:r>
      </m:oMath>
      <w:r>
        <w:t xml:space="preserve">    (6)</w:t>
      </w:r>
    </w:p>
    <w:p>
      <w:r>
        <w:t>Qγ is the energy transferred per volume per time in a homogeneous radiation population. The principal branch assigns all of this initial transfer to companions. A branching fraction b may describe alternatives, with b = 1 in that branch. Photon annihilation is not assumed: reducing photon number as well would change the brightness law and require new fits. Emission and detection spectra must ultimately be derived from the same interaction.</w:t>
      </w:r>
    </w:p>
    <w:p>
      <w:pPr>
        <w:pStyle w:val="Equation"/>
      </w:pPr>
      <m:oMath>
        <m:r>
          <m:t>Δ</m:t>
        </m:r>
        <m:sSub>
          <m:e>
            <m:r>
              <m:t>E</m:t>
            </m:r>
          </m:e>
          <m:sub>
            <m:r>
              <m:t>γ</m:t>
            </m:r>
          </m:sub>
        </m:sSub>
        <m:r>
          <m:t> </m:t>
        </m:r>
        <m:r>
          <m:t>=</m:t>
        </m:r>
        <m:r>
          <m:t> </m:t>
        </m:r>
        <m:sSub>
          <m:e>
            <m:r>
              <m:t>E</m:t>
            </m:r>
          </m:e>
          <m:sub>
            <m:r>
              <m:t>e</m:t>
            </m:r>
          </m:sub>
        </m:sSub>
        <m:r>
          <m:t> </m:t>
        </m:r>
        <m:r>
          <m:t>−</m:t>
        </m:r>
        <m:r>
          <m:t> </m:t>
        </m:r>
        <m:sSub>
          <m:e>
            <m:r>
              <m:t>E</m:t>
            </m:r>
          </m:e>
          <m:sub>
            <m:r>
              <m:t>o</m:t>
            </m:r>
          </m:sub>
        </m:sSub>
        <m:r>
          <m:t> </m:t>
        </m:r>
        <m:r>
          <m:t>=</m:t>
        </m:r>
        <m:r>
          <m:t> </m:t>
        </m:r>
        <m:sSub>
          <m:e>
            <m:r>
              <m:t>E</m:t>
            </m:r>
          </m:e>
          <m:sub>
            <m:r>
              <m:t>e</m:t>
            </m:r>
          </m:sub>
        </m:sSub>
        <m:r>
          <m:t> </m:t>
        </m:r>
        <m:r>
          <m:t>z</m:t>
        </m:r>
        <m:r>
          <m:t>/</m:t>
        </m:r>
        <m:r>
          <m:t>(</m:t>
        </m:r>
        <m:r>
          <m:t>1</m:t>
        </m:r>
        <m:r>
          <m:t> </m:t>
        </m:r>
        <m:r>
          <m:t>+</m:t>
        </m:r>
        <m:r>
          <m:t> </m:t>
        </m:r>
        <m:r>
          <m:t>z</m:t>
        </m:r>
        <m:r>
          <m:t>)</m:t>
        </m:r>
        <m:r>
          <m:t>.</m:t>
        </m:r>
      </m:oMath>
      <w:r>
        <w:t xml:space="preserve">    (7)</w:t>
      </w:r>
    </w:p>
    <w:p>
      <w:r>
        <w:t>This equation gives the total energy released by the photon. It is not automatically the energy still residing in an arriving companion: companions can be captured, leak, or themselves exchange energy with the field. “Co-traveling” means a proposed shared propagation speed, not an observed, permanently bound photon–companion pair. The companion channel is not identified with the gravitational waves already detected by interferometers.</w:t>
      </w:r>
    </w:p>
    <w:p>
      <w:pPr>
        <w:pStyle w:val="Heading2"/>
      </w:pPr>
      <w:r>
        <w:t>If companions share the evolving wave rule</w:t>
      </w:r>
    </w:p>
    <w:p>
      <w:r>
        <w:t>For companion modes with ω_c = c₀k/n, their preexisting energy also redshifts. Their additional transfer to the timing sector is Q_c = hₙu_c. A useful new bookkeeping example follows one freely traveling packet, with no capture, b = 1, and initially zero companion energy. Put y = n/nₑ. Solving the two energy equations gives:</w:t>
      </w:r>
    </w:p>
    <w:p>
      <w:pPr>
        <w:pStyle w:val="Equation"/>
      </w:pPr>
      <m:oMath>
        <m:sSub>
          <m:e>
            <m:r>
              <m:t>E</m:t>
            </m:r>
          </m:e>
          <m:sub>
            <m:r>
              <m:t>γ</m:t>
            </m:r>
          </m:sub>
        </m:sSub>
        <m:r>
          <m:t> </m:t>
        </m:r>
        <m:r>
          <m:t>=</m:t>
        </m:r>
        <m:r>
          <m:t> </m:t>
        </m:r>
        <m:sSub>
          <m:e>
            <m:r>
              <m:t>E</m:t>
            </m:r>
          </m:e>
          <m:sub>
            <m:r>
              <m:t>e</m:t>
            </m:r>
          </m:sub>
        </m:sSub>
        <m:r>
          <m:t>/</m:t>
        </m:r>
        <m:r>
          <m:t>y</m:t>
        </m:r>
        <m:r>
          <m:t>,</m:t>
        </m:r>
        <m:r>
          <m:t> </m:t>
        </m:r>
        <m:r>
          <m:t> </m:t>
        </m:r>
        <m:r>
          <m:t> </m:t>
        </m:r>
        <m:r>
          <m:t> </m:t>
        </m:r>
        <m:r>
          <m:t> </m:t>
        </m:r>
        <m:sSub>
          <m:e>
            <m:r>
              <m:t>E</m:t>
            </m:r>
          </m:e>
          <m:sub>
            <m:r>
              <m:t>c</m:t>
            </m:r>
          </m:sub>
        </m:sSub>
        <m:r>
          <m:t> </m:t>
        </m:r>
        <m:r>
          <m:t>=</m:t>
        </m:r>
        <m:r>
          <m:t> </m:t>
        </m:r>
        <m:sSub>
          <m:e>
            <m:r>
              <m:t>E</m:t>
            </m:r>
          </m:e>
          <m:sub>
            <m:r>
              <m:t>e</m:t>
            </m:r>
          </m:sub>
        </m:sSub>
        <m:r>
          <m:t> </m:t>
        </m:r>
        <m:r>
          <m:t>l</m:t>
        </m:r>
        <m:r>
          <m:t>n</m:t>
        </m:r>
        <m:r>
          <m:t>(</m:t>
        </m:r>
        <m:r>
          <m:t>y</m:t>
        </m:r>
        <m:r>
          <m:t>)</m:t>
        </m:r>
        <m:r>
          <m:t>/</m:t>
        </m:r>
        <m:r>
          <m:t>y</m:t>
        </m:r>
        <m:r>
          <m:t>,</m:t>
        </m:r>
      </m:oMath>
      <w:r>
        <w:t xml:space="preserve">    (8)</w:t>
      </w:r>
    </w:p>
    <w:p>
      <w:pPr>
        <w:pStyle w:val="Equation"/>
      </w:pPr>
      <m:oMath>
        <m:r>
          <m:t>Δ</m:t>
        </m:r>
        <m:sSub>
          <m:e>
            <m:r>
              <m:t>E</m:t>
            </m:r>
          </m:e>
          <m:sub>
            <m:r>
              <m:t>n</m:t>
            </m:r>
          </m:sub>
        </m:sSub>
        <m:r>
          <m:t> </m:t>
        </m:r>
        <m:r>
          <m:t>=</m:t>
        </m:r>
        <m:r>
          <m:t> </m:t>
        </m:r>
        <m:sSub>
          <m:e>
            <m:r>
              <m:t>E</m:t>
            </m:r>
          </m:e>
          <m:sub>
            <m:r>
              <m:t>e</m:t>
            </m:r>
          </m:sub>
        </m:sSub>
        <m:r>
          <m:t>[</m:t>
        </m:r>
        <m:r>
          <m:t>1</m:t>
        </m:r>
        <m:r>
          <m:t> </m:t>
        </m:r>
        <m:r>
          <m:t>−</m:t>
        </m:r>
        <m:r>
          <m:t> </m:t>
        </m:r>
        <m:r>
          <m:t>(</m:t>
        </m:r>
        <m:r>
          <m:t>1</m:t>
        </m:r>
        <m:r>
          <m:t> </m:t>
        </m:r>
        <m:r>
          <m:t>+</m:t>
        </m:r>
        <m:r>
          <m:t> </m:t>
        </m:r>
        <m:r>
          <m:t>l</m:t>
        </m:r>
        <m:r>
          <m:t>n</m:t>
        </m:r>
        <m:r>
          <m:t>(</m:t>
        </m:r>
        <m:r>
          <m:t>y</m:t>
        </m:r>
        <m:r>
          <m:t>)</m:t>
        </m:r>
        <m:r>
          <m:t>)</m:t>
        </m:r>
        <m:r>
          <m:t>/</m:t>
        </m:r>
        <m:r>
          <m:t>y</m:t>
        </m:r>
        <m:r>
          <m:t>]</m:t>
        </m:r>
        <m:r>
          <m:t>.</m:t>
        </m:r>
      </m:oMath>
      <w:r>
        <w:t xml:space="preserve">    (9)</w:t>
      </w:r>
    </w:p>
    <w:p>
      <w:r>
        <w:t>Their sum remains Eₑ. At S = y = 2, half the initial energy remains in the photon, 0.3466 is in the companion channel, and 0.1534 has entered the timing sector. These are derived toy fractions, not measured branching ratios. They make explicit why the same energy cannot be counted both as an intact companion deposit and as energy sustaining field evolution. A different companion dispersion would change this partition and must be declared.</w:t>
      </w:r>
    </w:p>
    <w:p>
      <w:r>
        <w:t>The packet calculation supplies energy accounting only. It does not establish a phase-coherent, gauge-invariant conversion interaction or its momentum balance. Those requirements distinguish a physical mechanism from an assigned sink in an energy equation.</w:t>
      </w:r>
    </w:p>
    <w:p>
      <w:pPr>
        <w:pStyle w:val="Heading1"/>
        <w:pageBreakBefore/>
        <w:spacing w:before="0"/>
      </w:pPr>
      <w:r>
        <w:t>4. Transport, capture and retention</w:t>
      </w:r>
    </w:p>
    <w:p>
      <w:r>
        <w:t>Use uγ for photon energy density, u_c for propagating companion energy, u_d for stored deposit energy, uₙ for the timing sector, and u_h for heat. Their fluxes are Fγ, F_c, F_d and Fₙ. In a fixed-volume weak-field bookkeeping approximation, define stellar injection j★, capture q_cap, release q_rel, and return q_ret to free companions. A consistent set of balances is:</w:t>
      </w:r>
    </w:p>
    <w:p>
      <w:pPr>
        <w:pStyle w:val="Equation"/>
      </w:pPr>
      <m:oMath>
        <m:sSub>
          <m:e>
            <m:r>
              <m:t>∂</m:t>
            </m:r>
          </m:e>
          <m:sub>
            <m:r>
              <m:t>t</m:t>
            </m:r>
          </m:sub>
        </m:sSub>
        <m:sSub>
          <m:e>
            <m:r>
              <m:t>u</m:t>
            </m:r>
          </m:e>
          <m:sub>
            <m:r>
              <m:t>γ</m:t>
            </m:r>
          </m:sub>
        </m:sSub>
        <m:r>
          <m:t> </m:t>
        </m:r>
        <m:r>
          <m:t>+</m:t>
        </m:r>
        <m:r>
          <m:t> </m:t>
        </m:r>
        <m:r>
          <m:t>∇</m:t>
        </m:r>
        <m:r>
          <m:t>·</m:t>
        </m:r>
        <m:sSub>
          <m:e>
            <m:r>
              <m:t>F</m:t>
            </m:r>
          </m:e>
          <m:sub>
            <m:r>
              <m:t>γ</m:t>
            </m:r>
          </m:sub>
        </m:sSub>
        <m:r>
          <m:t> </m:t>
        </m:r>
        <m:r>
          <m:t>=</m:t>
        </m:r>
        <m:r>
          <m:t> </m:t>
        </m:r>
        <m:sSub>
          <m:e>
            <m:r>
              <m:t>j</m:t>
            </m:r>
          </m:e>
          <m:sub>
            <m:r>
              <m:t>★</m:t>
            </m:r>
          </m:sub>
        </m:sSub>
        <m:r>
          <m:t> </m:t>
        </m:r>
        <m:r>
          <m:t>−</m:t>
        </m:r>
        <m:r>
          <m:t> </m:t>
        </m:r>
        <m:sSub>
          <m:e>
            <m:r>
              <m:t>Q</m:t>
            </m:r>
          </m:e>
          <m:sub>
            <m:r>
              <m:t>γ</m:t>
            </m:r>
          </m:sub>
        </m:sSub>
        <m:r>
          <m:t>,</m:t>
        </m:r>
      </m:oMath>
      <w:r>
        <w:t xml:space="preserve">    (10)</w:t>
      </w:r>
    </w:p>
    <w:p>
      <w:pPr>
        <w:pStyle w:val="Equation"/>
      </w:pPr>
      <m:oMath>
        <m:sSub>
          <m:e>
            <m:r>
              <m:t>∂</m:t>
            </m:r>
          </m:e>
          <m:sub>
            <m:r>
              <m:t>t</m:t>
            </m:r>
          </m:sub>
        </m:sSub>
        <m:sSub>
          <m:e>
            <m:r>
              <m:t>u</m:t>
            </m:r>
          </m:e>
          <m:sub>
            <m:r>
              <m:t>c</m:t>
            </m:r>
          </m:sub>
        </m:sSub>
        <m:r>
          <m:t> </m:t>
        </m:r>
        <m:r>
          <m:t>+</m:t>
        </m:r>
        <m:r>
          <m:t> </m:t>
        </m:r>
        <m:r>
          <m:t>∇</m:t>
        </m:r>
        <m:r>
          <m:t>·</m:t>
        </m:r>
        <m:sSub>
          <m:e>
            <m:r>
              <m:t>F</m:t>
            </m:r>
          </m:e>
          <m:sub>
            <m:r>
              <m:t>c</m:t>
            </m:r>
          </m:sub>
        </m:sSub>
        <m:r>
          <m:t> </m:t>
        </m:r>
        <m:r>
          <m:t>=</m:t>
        </m:r>
        <m:r>
          <m:t> </m:t>
        </m:r>
        <m:r>
          <m:t>b</m:t>
        </m:r>
        <m:sSub>
          <m:e>
            <m:r>
              <m:t>Q</m:t>
            </m:r>
          </m:e>
          <m:sub>
            <m:r>
              <m:t>γ</m:t>
            </m:r>
          </m:sub>
        </m:sSub>
        <m:r>
          <m:t> </m:t>
        </m:r>
        <m:r>
          <m:t>−</m:t>
        </m:r>
        <m:r>
          <m:t> </m:t>
        </m:r>
        <m:sSub>
          <m:e>
            <m:r>
              <m:t>Q</m:t>
            </m:r>
          </m:e>
          <m:sub>
            <m:r>
              <m:t>c</m:t>
            </m:r>
          </m:sub>
        </m:sSub>
        <m:r>
          <m:t> </m:t>
        </m:r>
        <m:r>
          <m:t>−</m:t>
        </m:r>
        <m:r>
          <m:t> </m:t>
        </m:r>
        <m:sSub>
          <m:e>
            <m:r>
              <m:t>q</m:t>
            </m:r>
          </m:e>
          <m:sub>
            <m:r>
              <m:t>c</m:t>
            </m:r>
            <m:r>
              <m:t>a</m:t>
            </m:r>
            <m:r>
              <m:t>p</m:t>
            </m:r>
          </m:sub>
        </m:sSub>
        <m:r>
          <m:t> </m:t>
        </m:r>
        <m:r>
          <m:t>+</m:t>
        </m:r>
        <m:r>
          <m:t> </m:t>
        </m:r>
        <m:sSub>
          <m:e>
            <m:r>
              <m:t>q</m:t>
            </m:r>
          </m:e>
          <m:sub>
            <m:r>
              <m:t>r</m:t>
            </m:r>
            <m:r>
              <m:t>e</m:t>
            </m:r>
            <m:r>
              <m:t>t</m:t>
            </m:r>
          </m:sub>
        </m:sSub>
        <m:r>
          <m:t>,</m:t>
        </m:r>
      </m:oMath>
      <w:r>
        <w:t xml:space="preserve">    (11)</w:t>
      </w:r>
    </w:p>
    <w:p>
      <w:pPr>
        <w:pStyle w:val="Equation"/>
      </w:pPr>
      <m:oMath>
        <m:sSub>
          <m:e>
            <m:r>
              <m:t>∂</m:t>
            </m:r>
          </m:e>
          <m:sub>
            <m:r>
              <m:t>t</m:t>
            </m:r>
          </m:sub>
        </m:sSub>
        <m:sSub>
          <m:e>
            <m:r>
              <m:t>u</m:t>
            </m:r>
          </m:e>
          <m:sub>
            <m:r>
              <m:t>d</m:t>
            </m:r>
          </m:sub>
        </m:sSub>
        <m:r>
          <m:t> </m:t>
        </m:r>
        <m:r>
          <m:t>+</m:t>
        </m:r>
        <m:r>
          <m:t> </m:t>
        </m:r>
        <m:r>
          <m:t>∇</m:t>
        </m:r>
        <m:r>
          <m:t>·</m:t>
        </m:r>
        <m:sSub>
          <m:e>
            <m:r>
              <m:t>F</m:t>
            </m:r>
          </m:e>
          <m:sub>
            <m:r>
              <m:t>d</m:t>
            </m:r>
          </m:sub>
        </m:sSub>
        <m:r>
          <m:t> </m:t>
        </m:r>
        <m:r>
          <m:t>=</m:t>
        </m:r>
        <m:r>
          <m:t> </m:t>
        </m:r>
        <m:sSub>
          <m:e>
            <m:r>
              <m:t>q</m:t>
            </m:r>
          </m:e>
          <m:sub>
            <m:r>
              <m:t>c</m:t>
            </m:r>
            <m:r>
              <m:t>a</m:t>
            </m:r>
            <m:r>
              <m:t>p</m:t>
            </m:r>
          </m:sub>
        </m:sSub>
        <m:r>
          <m:t> </m:t>
        </m:r>
        <m:r>
          <m:t>−</m:t>
        </m:r>
        <m:r>
          <m:t> </m:t>
        </m:r>
        <m:sSub>
          <m:e>
            <m:r>
              <m:t>q</m:t>
            </m:r>
          </m:e>
          <m:sub>
            <m:r>
              <m:t>r</m:t>
            </m:r>
            <m:r>
              <m:t>e</m:t>
            </m:r>
            <m:r>
              <m:t>l</m:t>
            </m:r>
          </m:sub>
        </m:sSub>
        <m:r>
          <m:t>,</m:t>
        </m:r>
      </m:oMath>
      <w:r>
        <w:t xml:space="preserve">    (12)</w:t>
      </w:r>
    </w:p>
    <w:p>
      <w:pPr>
        <w:pStyle w:val="Equation"/>
      </w:pPr>
      <m:oMath>
        <m:sSub>
          <m:e>
            <m:r>
              <m:t>∂</m:t>
            </m:r>
          </m:e>
          <m:sub>
            <m:r>
              <m:t>t</m:t>
            </m:r>
          </m:sub>
        </m:sSub>
        <m:sSub>
          <m:e>
            <m:r>
              <m:t>u</m:t>
            </m:r>
          </m:e>
          <m:sub>
            <m:r>
              <m:t>n</m:t>
            </m:r>
          </m:sub>
        </m:sSub>
        <m:r>
          <m:t> </m:t>
        </m:r>
        <m:r>
          <m:t>+</m:t>
        </m:r>
        <m:r>
          <m:t> </m:t>
        </m:r>
        <m:r>
          <m:t>∇</m:t>
        </m:r>
        <m:r>
          <m:t>·</m:t>
        </m:r>
        <m:sSub>
          <m:e>
            <m:r>
              <m:t>F</m:t>
            </m:r>
          </m:e>
          <m:sub>
            <m:r>
              <m:t>n</m:t>
            </m:r>
          </m:sub>
        </m:sSub>
        <m:r>
          <m:t> </m:t>
        </m:r>
        <m:r>
          <m:t>=</m:t>
        </m:r>
        <m:r>
          <m:t> </m:t>
        </m:r>
        <m:r>
          <m:t>(</m:t>
        </m:r>
        <m:r>
          <m:t>1</m:t>
        </m:r>
        <m:r>
          <m:t> </m:t>
        </m:r>
        <m:r>
          <m:t>−</m:t>
        </m:r>
        <m:r>
          <m:t> </m:t>
        </m:r>
        <m:r>
          <m:t>b</m:t>
        </m:r>
        <m:r>
          <m:t>)</m:t>
        </m:r>
        <m:sSub>
          <m:e>
            <m:r>
              <m:t>Q</m:t>
            </m:r>
          </m:e>
          <m:sub>
            <m:r>
              <m:t>γ</m:t>
            </m:r>
          </m:sub>
        </m:sSub>
        <m:r>
          <m:t> </m:t>
        </m:r>
        <m:r>
          <m:t>+</m:t>
        </m:r>
        <m:r>
          <m:t> </m:t>
        </m:r>
        <m:sSub>
          <m:e>
            <m:r>
              <m:t>Q</m:t>
            </m:r>
          </m:e>
          <m:sub>
            <m:r>
              <m:t>c</m:t>
            </m:r>
          </m:sub>
        </m:sSub>
        <m:r>
          <m:t>,</m:t>
        </m:r>
      </m:oMath>
      <w:r>
        <w:t xml:space="preserve">    (13)</w:t>
      </w:r>
    </w:p>
    <w:p>
      <w:pPr>
        <w:pStyle w:val="Equation"/>
      </w:pPr>
      <m:oMath>
        <m:sSub>
          <m:e>
            <m:r>
              <m:t>∂</m:t>
            </m:r>
          </m:e>
          <m:sub>
            <m:r>
              <m:t>t</m:t>
            </m:r>
          </m:sub>
        </m:sSub>
        <m:sSub>
          <m:e>
            <m:r>
              <m:t>u</m:t>
            </m:r>
          </m:e>
          <m:sub>
            <m:r>
              <m:t>h</m:t>
            </m:r>
          </m:sub>
        </m:sSub>
        <m:r>
          <m:t> </m:t>
        </m:r>
        <m:r>
          <m:t>=</m:t>
        </m:r>
        <m:r>
          <m:t> </m:t>
        </m:r>
        <m:sSub>
          <m:e>
            <m:r>
              <m:t>q</m:t>
            </m:r>
          </m:e>
          <m:sub>
            <m:r>
              <m:t>r</m:t>
            </m:r>
            <m:r>
              <m:t>e</m:t>
            </m:r>
            <m:r>
              <m:t>l</m:t>
            </m:r>
          </m:sub>
        </m:sSub>
        <m:r>
          <m:t> </m:t>
        </m:r>
        <m:r>
          <m:t>−</m:t>
        </m:r>
        <m:r>
          <m:t> </m:t>
        </m:r>
        <m:sSub>
          <m:e>
            <m:r>
              <m:t>q</m:t>
            </m:r>
          </m:e>
          <m:sub>
            <m:r>
              <m:t>r</m:t>
            </m:r>
            <m:r>
              <m:t>e</m:t>
            </m:r>
            <m:r>
              <m:t>t</m:t>
            </m:r>
            <m:r>
              <m:t>.</m:t>
            </m:r>
          </m:sub>
        </m:sSub>
      </m:oMath>
      <w:r>
        <w:t xml:space="preserve">    (14)</w:t>
      </w:r>
    </w:p>
    <w:p>
      <w:r>
        <w:t>The stellar reservoir loses j★. Adding the equations cancels all internal transfers; total energy changes only through injection, the matching stellar loss, and boundary fluxes. For the central shared-propagation example b = 1 and Q_c = hₙu_c. These scalar balances do not include a complete gravitational energy or momentum equation. A covariant completion must supply the stress tensors, constraints and forces consistently.</w:t>
      </w:r>
    </w:p>
    <w:p>
      <w:pPr>
        <w:pStyle w:val="Equation"/>
      </w:pPr>
      <m:oMath>
        <m:sSub>
          <m:e>
            <m:r>
              <m:t>q</m:t>
            </m:r>
          </m:e>
          <m:sub>
            <m:r>
              <m:t>c</m:t>
            </m:r>
            <m:r>
              <m:t>a</m:t>
            </m:r>
            <m:r>
              <m:t>p</m:t>
            </m:r>
          </m:sub>
        </m:sSub>
        <m:r>
          <m:t> </m:t>
        </m:r>
        <m:r>
          <m:t>=</m:t>
        </m:r>
        <m:r>
          <m:t> </m:t>
        </m:r>
        <m:sSub>
          <m:e>
            <m:r>
              <m:t>α</m:t>
            </m:r>
          </m:e>
          <m:sub>
            <m:r>
              <m:t>c</m:t>
            </m:r>
          </m:sub>
        </m:sSub>
        <m:r>
          <m:t> </m:t>
        </m:r>
        <m:sSub>
          <m:e>
            <m:r>
              <m:t>v</m:t>
            </m:r>
          </m:e>
          <m:sub>
            <m:r>
              <m:t>c</m:t>
            </m:r>
          </m:sub>
        </m:sSub>
        <m:r>
          <m:t> </m:t>
        </m:r>
        <m:sSub>
          <m:e>
            <m:r>
              <m:t>u</m:t>
            </m:r>
          </m:e>
          <m:sub>
            <m:r>
              <m:t>c</m:t>
            </m:r>
          </m:sub>
        </m:sSub>
        <m:r>
          <m:t>,</m:t>
        </m:r>
        <m:r>
          <m:t> </m:t>
        </m:r>
        <m:r>
          <m:t> </m:t>
        </m:r>
        <m:r>
          <m:t> </m:t>
        </m:r>
        <m:r>
          <m:t> </m:t>
        </m:r>
        <m:r>
          <m:t> </m:t>
        </m:r>
        <m:sSub>
          <m:e>
            <m:r>
              <m:t>q</m:t>
            </m:r>
          </m:e>
          <m:sub>
            <m:r>
              <m:t>r</m:t>
            </m:r>
            <m:r>
              <m:t>e</m:t>
            </m:r>
            <m:r>
              <m:t>l</m:t>
            </m:r>
          </m:sub>
        </m:sSub>
        <m:r>
          <m:t> </m:t>
        </m:r>
        <m:r>
          <m:t>=</m:t>
        </m:r>
        <m:r>
          <m:t> </m:t>
        </m:r>
        <m:sSub>
          <m:e>
            <m:r>
              <m:t>u</m:t>
            </m:r>
          </m:e>
          <m:sub>
            <m:r>
              <m:t>d</m:t>
            </m:r>
          </m:sub>
        </m:sSub>
        <m:r>
          <m:t>/</m:t>
        </m:r>
        <m:r>
          <m:t>τ</m:t>
        </m:r>
        <m:r>
          <m:t>,</m:t>
        </m:r>
        <m:r>
          <m:t> </m:t>
        </m:r>
        <m:r>
          <m:t> </m:t>
        </m:r>
        <m:r>
          <m:t> </m:t>
        </m:r>
        <m:r>
          <m:t> </m:t>
        </m:r>
        <m:r>
          <m:t> </m:t>
        </m:r>
        <m:sSub>
          <m:e>
            <m:r>
              <m:t>F</m:t>
            </m:r>
          </m:e>
          <m:sub>
            <m:r>
              <m:t>d</m:t>
            </m:r>
          </m:sub>
        </m:sSub>
        <m:r>
          <m:t> </m:t>
        </m:r>
        <m:r>
          <m:t>=</m:t>
        </m:r>
        <m:r>
          <m:t> </m:t>
        </m:r>
        <m:r>
          <m:t>−</m:t>
        </m:r>
        <m:r>
          <m:t>D</m:t>
        </m:r>
        <m:r>
          <m:t>∇</m:t>
        </m:r>
        <m:sSub>
          <m:e>
            <m:r>
              <m:t>u</m:t>
            </m:r>
          </m:e>
          <m:sub>
            <m:r>
              <m:t>d</m:t>
            </m:r>
            <m:r>
              <m:t>.</m:t>
            </m:r>
          </m:sub>
        </m:sSub>
      </m:oMath>
      <w:r>
        <w:t xml:space="preserve">    (15)</w:t>
      </w:r>
    </w:p>
    <w:p>
      <w:r>
        <w:t>The absorption coefficient α_c, residence time τ and redistribution coefficient D must be nonnegative in this simple branch. A gravitational well does not automatically absorb radiation; α_c is new physics requiring a derivation. Diffusion is an optional transport approximation rather than a demonstrated origin of the fitted profile. Release can return energy to companions or produce heat, and either fate is observable in principle.</w:t>
      </w:r>
    </w:p>
    <w:p>
      <w:pPr>
        <w:pStyle w:val="Heading2"/>
      </w:pPr>
      <w:r>
        <w:t>A finite accumulation rule</w:t>
      </w:r>
    </w:p>
    <w:p>
      <w:pPr>
        <w:pStyle w:val="Equation"/>
      </w:pPr>
      <m:oMath>
        <m:sSub>
          <m:e>
            <m:r>
              <m:t>u</m:t>
            </m:r>
          </m:e>
          <m:sub>
            <m:r>
              <m:t>d</m:t>
            </m:r>
          </m:sub>
        </m:sSub>
        <m:r>
          <m:t>(</m:t>
        </m:r>
        <m:r>
          <m:t>T</m:t>
        </m:r>
        <m:r>
          <m:t>)</m:t>
        </m:r>
        <m:r>
          <m:t> </m:t>
        </m:r>
        <m:r>
          <m:t>=</m:t>
        </m:r>
        <m:r>
          <m:t> </m:t>
        </m:r>
        <m:sSub>
          <m:e>
            <m:r>
              <m:t>u</m:t>
            </m:r>
          </m:e>
          <m:sub>
            <m:r>
              <m:t>d</m:t>
            </m:r>
          </m:sub>
        </m:sSub>
        <m:r>
          <m:t>(</m:t>
        </m:r>
        <m:r>
          <m:t>0</m:t>
        </m:r>
        <m:r>
          <m:t>)</m:t>
        </m:r>
        <m:sSup>
          <m:e>
            <m:r>
              <m:t>e</m:t>
            </m:r>
          </m:e>
          <m:sup>
            <m:r>
              <m:t>−</m:t>
            </m:r>
            <m:r>
              <m:t>T</m:t>
            </m:r>
            <m:r>
              <m:t>/</m:t>
            </m:r>
            <m:r>
              <m:t>τ</m:t>
            </m:r>
          </m:sup>
        </m:sSup>
        <m:r>
          <m:t> </m:t>
        </m:r>
        <m:r>
          <m:t>+</m:t>
        </m:r>
        <m:r>
          <m:t> </m:t>
        </m:r>
        <m:sSub>
          <m:e>
            <m:r>
              <m:t>∫</m:t>
            </m:r>
          </m:e>
          <m:sub>
            <m:r>
              <m:t>0</m:t>
            </m:r>
          </m:sub>
        </m:sSub>
        <m:r>
          <m:t>ᵀ</m:t>
        </m:r>
        <m:r>
          <m:t> </m:t>
        </m:r>
        <m:sSub>
          <m:e>
            <m:r>
              <m:t>q</m:t>
            </m:r>
          </m:e>
          <m:sub>
            <m:r>
              <m:t>c</m:t>
            </m:r>
            <m:r>
              <m:t>a</m:t>
            </m:r>
            <m:r>
              <m:t>p</m:t>
            </m:r>
          </m:sub>
        </m:sSub>
        <m:r>
          <m:t>(</m:t>
        </m:r>
        <m:r>
          <m:t>t</m:t>
        </m:r>
        <m:r>
          <m:t>)</m:t>
        </m:r>
        <m:sSup>
          <m:e>
            <m:r>
              <m:t>e</m:t>
            </m:r>
          </m:e>
          <m:sup>
            <m:r>
              <m:t>−</m:t>
            </m:r>
            <m:r>
              <m:t>(</m:t>
            </m:r>
            <m:r>
              <m:t>T</m:t>
            </m:r>
            <m:r>
              <m:t>−</m:t>
            </m:r>
            <m:r>
              <m:t>t</m:t>
            </m:r>
            <m:r>
              <m:t>)</m:t>
            </m:r>
            <m:r>
              <m:t>/</m:t>
            </m:r>
            <m:r>
              <m:t>τ</m:t>
            </m:r>
          </m:sup>
        </m:sSup>
        <m:r>
          <m:t>d</m:t>
        </m:r>
        <m:r>
          <m:t>t</m:t>
        </m:r>
        <m:r>
          <m:t>.</m:t>
        </m:r>
      </m:oMath>
      <w:r>
        <w:t xml:space="preserve">    (16)</w:t>
      </w:r>
    </w:p>
    <w:p>
      <w:pPr>
        <w:pStyle w:val="Equation"/>
      </w:pPr>
      <m:oMath>
        <m:sSub>
          <m:e>
            <m:r>
              <m:t>q</m:t>
            </m:r>
          </m:e>
          <m:sub>
            <m:r>
              <m:t>c</m:t>
            </m:r>
            <m:r>
              <m:t>a</m:t>
            </m:r>
            <m:r>
              <m:t>p</m:t>
            </m:r>
          </m:sub>
        </m:sSub>
        <m:r>
          <m:t> </m:t>
        </m:r>
        <m:r>
          <m:t>c</m:t>
        </m:r>
        <m:r>
          <m:t>o</m:t>
        </m:r>
        <m:r>
          <m:t>n</m:t>
        </m:r>
        <m:r>
          <m:t>s</m:t>
        </m:r>
        <m:r>
          <m:t>t</m:t>
        </m:r>
        <m:r>
          <m:t>a</m:t>
        </m:r>
        <m:r>
          <m:t>n</m:t>
        </m:r>
        <m:r>
          <m:t>t</m:t>
        </m:r>
        <m:r>
          <m:t>,</m:t>
        </m:r>
        <m:r>
          <m:t> </m:t>
        </m:r>
        <m:sSub>
          <m:e>
            <m:r>
              <m:t>u</m:t>
            </m:r>
          </m:e>
          <m:sub>
            <m:r>
              <m:t>d</m:t>
            </m:r>
          </m:sub>
        </m:sSub>
        <m:r>
          <m:t>(</m:t>
        </m:r>
        <m:r>
          <m:t>0</m:t>
        </m:r>
        <m:r>
          <m:t>)</m:t>
        </m:r>
        <m:r>
          <m:t> </m:t>
        </m:r>
        <m:r>
          <m:t>=</m:t>
        </m:r>
        <m:r>
          <m:t> </m:t>
        </m:r>
        <m:r>
          <m:t>0</m:t>
        </m:r>
        <m:r>
          <m:t>:</m:t>
        </m:r>
        <m:r>
          <m:t> </m:t>
        </m:r>
        <m:r>
          <m:t> </m:t>
        </m:r>
        <m:r>
          <m:t> </m:t>
        </m:r>
        <m:r>
          <m:t> </m:t>
        </m:r>
        <m:r>
          <m:t> </m:t>
        </m:r>
        <m:sSub>
          <m:e>
            <m:r>
              <m:t>u</m:t>
            </m:r>
          </m:e>
          <m:sub>
            <m:r>
              <m:t>d</m:t>
            </m:r>
          </m:sub>
        </m:sSub>
        <m:r>
          <m:t> </m:t>
        </m:r>
        <m:r>
          <m:t>=</m:t>
        </m:r>
        <m:r>
          <m:t> </m:t>
        </m:r>
        <m:sSub>
          <m:e>
            <m:r>
              <m:t>q</m:t>
            </m:r>
          </m:e>
          <m:sub>
            <m:r>
              <m:t>c</m:t>
            </m:r>
            <m:r>
              <m:t>a</m:t>
            </m:r>
            <m:r>
              <m:t>p</m:t>
            </m:r>
          </m:sub>
        </m:sSub>
        <m:r>
          <m:t> </m:t>
        </m:r>
        <m:sSub>
          <m:e>
            <m:r>
              <m:t>T</m:t>
            </m:r>
          </m:e>
          <m:sub>
            <m:r>
              <m:t>e</m:t>
            </m:r>
            <m:r>
              <m:t>f</m:t>
            </m:r>
            <m:r>
              <m:t>f</m:t>
            </m:r>
          </m:sub>
        </m:sSub>
        <m:r>
          <m:t>,</m:t>
        </m:r>
      </m:oMath>
      <w:r>
        <w:t xml:space="preserve">    (17)</w:t>
      </w:r>
    </w:p>
    <w:p>
      <w:pPr>
        <w:pStyle w:val="Equation"/>
      </w:pPr>
      <m:oMath>
        <m:sSub>
          <m:e>
            <m:r>
              <m:t>T</m:t>
            </m:r>
          </m:e>
          <m:sub>
            <m:r>
              <m:t>e</m:t>
            </m:r>
            <m:r>
              <m:t>f</m:t>
            </m:r>
            <m:r>
              <m:t>f</m:t>
            </m:r>
          </m:sub>
        </m:sSub>
        <m:r>
          <m:t> </m:t>
        </m:r>
        <m:r>
          <m:t>=</m:t>
        </m:r>
        <m:r>
          <m:t> </m:t>
        </m:r>
        <m:r>
          <m:t>τ</m:t>
        </m:r>
        <m:r>
          <m:t>[</m:t>
        </m:r>
        <m:r>
          <m:t>1</m:t>
        </m:r>
        <m:r>
          <m:t> </m:t>
        </m:r>
        <m:r>
          <m:t>−</m:t>
        </m:r>
        <m:r>
          <m:t> </m:t>
        </m:r>
        <m:r>
          <m:t>e</m:t>
        </m:r>
        <m:r>
          <m:t>x</m:t>
        </m:r>
        <m:r>
          <m:t>p</m:t>
        </m:r>
        <m:r>
          <m:t>(</m:t>
        </m:r>
        <m:r>
          <m:t>−</m:t>
        </m:r>
        <m:r>
          <m:t>T</m:t>
        </m:r>
        <m:r>
          <m:t>/</m:t>
        </m:r>
        <m:r>
          <m:t>τ</m:t>
        </m:r>
        <m:r>
          <m:t>)</m:t>
        </m:r>
        <m:r>
          <m:t>]</m:t>
        </m:r>
        <m:r>
          <m:t> </m:t>
        </m:r>
        <m:r>
          <m:t>≤</m:t>
        </m:r>
        <m:r>
          <m:t> </m:t>
        </m:r>
        <m:r>
          <m:t>T</m:t>
        </m:r>
        <m:r>
          <m:t>.</m:t>
        </m:r>
      </m:oMath>
      <w:r>
        <w:t xml:space="preserve">    (18)</w:t>
      </w:r>
    </w:p>
    <w:p>
      <w:r>
        <w:t>For an isotropic companion bath incident on a sphere, incoming power is πR²v_cu_c. With angularly averaged capture fraction ε ≤ 1, P_cap = επR²v_cu_c. This expresses why larger systems can collect more energy. It is a conditional boundary flux, not a measurement of the cosmic companion bath. Capture efficiency, storage time and incoming intensity must be predicted independently to turn the formula into a test of the mechanism.</w:t>
      </w:r>
    </w:p>
    <w:p>
      <w:pPr>
        <w:pStyle w:val="Heading1"/>
        <w:pageBreakBefore/>
        <w:spacing w:before="0"/>
      </w:pPr>
      <w:r>
        <w:t>5. From stored energy to a gravitational profile</w:t>
      </w:r>
    </w:p>
    <w:p>
      <w:r>
        <w:t>In the fitted weak-field approximation, assume a spherical additional source acting through inverse-square gravity. The baryonic disk force is calculated separately. Introduce a constant response parameter η through ρ_X = ηu_d/c₀²; η = 1 is the ordinary rest-energy-equivalent benchmark, while η ≠ 1 specifies a new effective coupling. η is not permission to create energy.</w:t>
      </w:r>
    </w:p>
    <w:p>
      <w:pPr>
        <w:pStyle w:val="Equation"/>
      </w:pPr>
      <m:oMath>
        <m:sSub>
          <m:e>
            <m:r>
              <m:t>g</m:t>
            </m:r>
          </m:e>
          <m:sub>
            <m:r>
              <m:t>o</m:t>
            </m:r>
            <m:r>
              <m:t>b</m:t>
            </m:r>
            <m:r>
              <m:t>s</m:t>
            </m:r>
          </m:sub>
        </m:sSub>
        <m:r>
          <m:t> </m:t>
        </m:r>
        <m:r>
          <m:t>=</m:t>
        </m:r>
        <m:r>
          <m:t> </m:t>
        </m:r>
        <m:sSup>
          <m:e>
            <m:sSub>
              <m:e>
                <m:r>
                  <m:t>v</m:t>
                </m:r>
              </m:e>
              <m:sub>
                <m:r>
                  <m:t>o</m:t>
                </m:r>
                <m:r>
                  <m:t>b</m:t>
                </m:r>
                <m:r>
                  <m:t>s</m:t>
                </m:r>
              </m:sub>
            </m:sSub>
          </m:e>
          <m:sup>
            <m:r>
              <m:t>2</m:t>
            </m:r>
          </m:sup>
        </m:sSup>
        <m:r>
          <m:t>/</m:t>
        </m:r>
        <m:r>
          <m:t>r</m:t>
        </m:r>
        <m:r>
          <m:t>,</m:t>
        </m:r>
        <m:r>
          <m:t> </m:t>
        </m:r>
        <m:r>
          <m:t> </m:t>
        </m:r>
        <m:r>
          <m:t> </m:t>
        </m:r>
        <m:r>
          <m:t> </m:t>
        </m:r>
        <m:r>
          <m:t> </m:t>
        </m:r>
        <m:sSub>
          <m:e>
            <m:r>
              <m:t>M</m:t>
            </m:r>
          </m:e>
          <m:sub>
            <m:r>
              <m:t>X</m:t>
            </m:r>
          </m:sub>
        </m:sSub>
        <m:r>
          <m:t>(</m:t>
        </m:r>
        <m:r>
          <m:t>&lt;</m:t>
        </m:r>
        <m:r>
          <m:t>r</m:t>
        </m:r>
        <m:r>
          <m:t>)</m:t>
        </m:r>
        <m:r>
          <m:t> </m:t>
        </m:r>
        <m:r>
          <m:t>=</m:t>
        </m:r>
        <m:r>
          <m:t> </m:t>
        </m:r>
        <m:r>
          <m:t>r</m:t>
        </m:r>
        <m:r>
          <m:t>[</m:t>
        </m:r>
        <m:sSup>
          <m:e>
            <m:sSub>
              <m:e>
                <m:r>
                  <m:t>v</m:t>
                </m:r>
              </m:e>
              <m:sub>
                <m:r>
                  <m:t>o</m:t>
                </m:r>
                <m:r>
                  <m:t>b</m:t>
                </m:r>
                <m:r>
                  <m:t>s</m:t>
                </m:r>
              </m:sub>
            </m:sSub>
          </m:e>
          <m:sup>
            <m:r>
              <m:t>2</m:t>
            </m:r>
          </m:sup>
        </m:sSup>
        <m:r>
          <m:t> </m:t>
        </m:r>
        <m:r>
          <m:t>−</m:t>
        </m:r>
        <m:r>
          <m:t> </m:t>
        </m:r>
        <m:sSup>
          <m:e>
            <m:sSub>
              <m:e>
                <m:r>
                  <m:t>v</m:t>
                </m:r>
              </m:e>
              <m:sub>
                <m:r>
                  <m:t>b</m:t>
                </m:r>
              </m:sub>
            </m:sSub>
          </m:e>
          <m:sup>
            <m:r>
              <m:t>2</m:t>
            </m:r>
          </m:sup>
        </m:sSup>
        <m:r>
          <m:t>]</m:t>
        </m:r>
        <m:r>
          <m:t>/</m:t>
        </m:r>
        <m:r>
          <m:t>G</m:t>
        </m:r>
        <m:r>
          <m:t>,</m:t>
        </m:r>
      </m:oMath>
      <w:r>
        <w:t xml:space="preserve">    (19)</w:t>
      </w:r>
    </w:p>
    <w:p>
      <w:pPr>
        <w:pStyle w:val="Equation"/>
      </w:pPr>
      <m:oMath>
        <m:sSub>
          <m:e>
            <m:r>
              <m:t>ρ</m:t>
            </m:r>
          </m:e>
          <m:sub>
            <m:r>
              <m:t>X</m:t>
            </m:r>
          </m:sub>
        </m:sSub>
        <m:r>
          <m:t> </m:t>
        </m:r>
        <m:r>
          <m:t>=</m:t>
        </m:r>
        <m:r>
          <m:t> </m:t>
        </m:r>
        <m:r>
          <m:t>η</m:t>
        </m:r>
        <m:sSub>
          <m:e>
            <m:r>
              <m:t>u</m:t>
            </m:r>
          </m:e>
          <m:sub>
            <m:r>
              <m:t>d</m:t>
            </m:r>
          </m:sub>
        </m:sSub>
        <m:r>
          <m:t>/</m:t>
        </m:r>
        <m:sSup>
          <m:e>
            <m:sSub>
              <m:e>
                <m:r>
                  <m:t>c</m:t>
                </m:r>
              </m:e>
              <m:sub>
                <m:r>
                  <m:t>0</m:t>
                </m:r>
              </m:sub>
            </m:sSub>
          </m:e>
          <m:sup>
            <m:r>
              <m:t>2</m:t>
            </m:r>
          </m:sup>
        </m:sSup>
        <m:r>
          <m:t>,</m:t>
        </m:r>
        <m:r>
          <m:t> </m:t>
        </m:r>
        <m:r>
          <m:t> </m:t>
        </m:r>
        <m:r>
          <m:t> </m:t>
        </m:r>
        <m:r>
          <m:t> </m:t>
        </m:r>
        <m:r>
          <m:t> </m:t>
        </m:r>
        <m:sSup>
          <m:e>
            <m:r>
              <m:t>∇</m:t>
            </m:r>
          </m:e>
          <m:sup>
            <m:r>
              <m:t>2</m:t>
            </m:r>
          </m:sup>
        </m:sSup>
        <m:r>
          <m:t>Φ</m:t>
        </m:r>
        <m:r>
          <m:t> </m:t>
        </m:r>
        <m:r>
          <m:t>=</m:t>
        </m:r>
        <m:r>
          <m:t> </m:t>
        </m:r>
        <m:r>
          <m:t>4</m:t>
        </m:r>
        <m:r>
          <m:t>π</m:t>
        </m:r>
        <m:r>
          <m:t>G</m:t>
        </m:r>
        <m:r>
          <m:t>(</m:t>
        </m:r>
        <m:sSub>
          <m:e>
            <m:r>
              <m:t>ρ</m:t>
            </m:r>
          </m:e>
          <m:sub>
            <m:r>
              <m:t>b</m:t>
            </m:r>
          </m:sub>
        </m:sSub>
        <m:r>
          <m:t> </m:t>
        </m:r>
        <m:r>
          <m:t>+</m:t>
        </m:r>
        <m:r>
          <m:t> </m:t>
        </m:r>
        <m:sSub>
          <m:e>
            <m:r>
              <m:t>ρ</m:t>
            </m:r>
          </m:e>
          <m:sub>
            <m:r>
              <m:t>X</m:t>
            </m:r>
          </m:sub>
        </m:sSub>
        <m:r>
          <m:t>)</m:t>
        </m:r>
        <m:r>
          <m:t>.</m:t>
        </m:r>
      </m:oMath>
      <w:r>
        <w:t xml:space="preserve">    (20)</w:t>
      </w:r>
    </w:p>
    <w:p>
      <w:r>
        <w:t>The Poisson equation is a local phenomenological closure. Free companion energy, the timing field, relativistic pressure and stresses supporting the background may also gravitate. Their omission from the fitted excess must eventually be justified; storing energy does not ordinarily switch its gravity on for the first time. The full static background is not solved by this equation.</w:t>
      </w:r>
    </w:p>
    <w:p>
      <w:pPr>
        <w:pStyle w:val="Heading2"/>
      </w:pPr>
      <w:r>
        <w:t>The fitted shared deposit</w:t>
      </w:r>
    </w:p>
    <w:p>
      <w:pPr>
        <w:pStyle w:val="Equation"/>
      </w:pPr>
      <m:oMath>
        <m:sSub>
          <m:e>
            <m:r>
              <m:t>ρ</m:t>
            </m:r>
          </m:e>
          <m:sub>
            <m:r>
              <m:t>X</m:t>
            </m:r>
          </m:sub>
        </m:sSub>
        <m:r>
          <m:t>(</m:t>
        </m:r>
        <m:r>
          <m:t>r</m:t>
        </m:r>
        <m:r>
          <m:t>)</m:t>
        </m:r>
        <m:r>
          <m:t> </m:t>
        </m:r>
        <m:r>
          <m:t>=</m:t>
        </m:r>
        <m:r>
          <m:t> </m:t>
        </m:r>
        <m:sSup>
          <m:e>
            <m:sSub>
              <m:e>
                <m:r>
                  <m:t>V</m:t>
                </m:r>
              </m:e>
              <m:sub>
                <m:r>
                  <m:t>X</m:t>
                </m:r>
              </m:sub>
            </m:sSub>
          </m:e>
          <m:sup>
            <m:r>
              <m:t>2</m:t>
            </m:r>
          </m:sup>
        </m:sSup>
        <m:r>
          <m:t>/</m:t>
        </m:r>
        <m:r>
          <m:t>[</m:t>
        </m:r>
        <m:r>
          <m:t>4</m:t>
        </m:r>
        <m:r>
          <m:t>π</m:t>
        </m:r>
        <m:r>
          <m:t>G</m:t>
        </m:r>
        <m:r>
          <m:t>(</m:t>
        </m:r>
        <m:sSup>
          <m:e>
            <m:r>
              <m:t>r</m:t>
            </m:r>
          </m:e>
          <m:sup>
            <m:r>
              <m:t>2</m:t>
            </m:r>
          </m:sup>
        </m:sSup>
        <m:r>
          <m:t> </m:t>
        </m:r>
        <m:r>
          <m:t>+</m:t>
        </m:r>
        <m:r>
          <m:t> </m:t>
        </m:r>
        <m:sSup>
          <m:e>
            <m:sSub>
              <m:e>
                <m:r>
                  <m:t>r</m:t>
                </m:r>
              </m:e>
              <m:sub>
                <m:r>
                  <m:t>c</m:t>
                </m:r>
              </m:sub>
            </m:sSub>
          </m:e>
          <m:sup>
            <m:r>
              <m:t>2</m:t>
            </m:r>
          </m:sup>
        </m:sSup>
        <m:r>
          <m:t>)</m:t>
        </m:r>
        <m:r>
          <m:t>]</m:t>
        </m:r>
        <m:r>
          <m:t>,</m:t>
        </m:r>
        <m:r>
          <m:t> </m:t>
        </m:r>
        <m:r>
          <m:t> </m:t>
        </m:r>
        <m:r>
          <m:t> </m:t>
        </m:r>
        <m:r>
          <m:t> </m:t>
        </m:r>
        <m:r>
          <m:t> </m:t>
        </m:r>
        <m:sSub>
          <m:e>
            <m:r>
              <m:t>r</m:t>
            </m:r>
          </m:e>
          <m:sub>
            <m:r>
              <m:t>c</m:t>
            </m:r>
          </m:sub>
        </m:sSub>
        <m:r>
          <m:t> </m:t>
        </m:r>
        <m:r>
          <m:t>=</m:t>
        </m:r>
        <m:r>
          <m:t> </m:t>
        </m:r>
        <m:r>
          <m:t>1.0723</m:t>
        </m:r>
        <m:r>
          <m:t> </m:t>
        </m:r>
        <m:sSub>
          <m:e>
            <m:r>
              <m:t>R</m:t>
            </m:r>
          </m:e>
          <m:sub>
            <m:r>
              <m:t>d</m:t>
            </m:r>
          </m:sub>
        </m:sSub>
        <m:r>
          <m:t>,</m:t>
        </m:r>
      </m:oMath>
      <w:r>
        <w:t xml:space="preserve">    (21)</w:t>
      </w:r>
    </w:p>
    <w:p>
      <w:pPr>
        <w:pStyle w:val="Equation"/>
      </w:pPr>
      <m:oMath>
        <m:sSup>
          <m:e>
            <m:sSub>
              <m:e>
                <m:r>
                  <m:t>V</m:t>
                </m:r>
              </m:e>
              <m:sub>
                <m:r>
                  <m:t>X</m:t>
                </m:r>
              </m:sub>
            </m:sSub>
          </m:e>
          <m:sup>
            <m:r>
              <m:t>2</m:t>
            </m:r>
          </m:sup>
        </m:sSup>
        <m:r>
          <m:t> </m:t>
        </m:r>
        <m:r>
          <m:t>=</m:t>
        </m:r>
        <m:r>
          <m:t> </m:t>
        </m:r>
        <m:r>
          <m:t>1.5723</m:t>
        </m:r>
        <m:r>
          <m:t> </m:t>
        </m:r>
        <m:r>
          <m:t>×</m:t>
        </m:r>
        <m:r>
          <m:t> </m:t>
        </m:r>
        <m:sSup>
          <m:e>
            <m:r>
              <m:t>10</m:t>
            </m:r>
          </m:e>
          <m:sup>
            <m:r>
              <m:t>4</m:t>
            </m:r>
          </m:sup>
        </m:sSup>
        <m:r>
          <m:t> </m:t>
        </m:r>
        <m:r>
          <m:t>(</m:t>
        </m:r>
        <m:r>
          <m:t>k</m:t>
        </m:r>
        <m:r>
          <m:t>m</m:t>
        </m:r>
        <m:r>
          <m:t>/</m:t>
        </m:r>
        <m:r>
          <m:t>s</m:t>
        </m:r>
        <m:sSup>
          <m:e>
            <m:r>
              <m:t>)</m:t>
            </m:r>
          </m:e>
          <m:sup>
            <m:r>
              <m:t>2</m:t>
            </m:r>
          </m:sup>
        </m:sSup>
        <m:r>
          <m:t> </m:t>
        </m:r>
        <m:r>
          <m:t>×</m:t>
        </m:r>
        <m:r>
          <m:t> </m:t>
        </m:r>
        <m:sSup>
          <m:e>
            <m:r>
              <m:t>ℓ</m:t>
            </m:r>
          </m:e>
          <m:sup>
            <m:r>
              <m:t>0.3395</m:t>
            </m:r>
          </m:sup>
        </m:sSup>
        <m:r>
          <m:t> </m:t>
        </m:r>
        <m:r>
          <m:t>×</m:t>
        </m:r>
        <m:r>
          <m:t> </m:t>
        </m:r>
        <m:sSup>
          <m:e>
            <m:r>
              <m:t>d</m:t>
            </m:r>
          </m:e>
          <m:sup>
            <m:r>
              <m:t>0.3792</m:t>
            </m:r>
          </m:sup>
        </m:sSup>
        <m:r>
          <m:t>,</m:t>
        </m:r>
      </m:oMath>
      <w:r>
        <w:t xml:space="preserve">    (22)</w:t>
      </w:r>
    </w:p>
    <w:p>
      <w:pPr>
        <w:pStyle w:val="Equation"/>
      </w:pPr>
      <m:oMath>
        <m:r>
          <m:t>ℓ</m:t>
        </m:r>
        <m:r>
          <m:t> </m:t>
        </m:r>
        <m:r>
          <m:t>=</m:t>
        </m:r>
        <m:r>
          <m:t> </m:t>
        </m:r>
        <m:sSub>
          <m:e>
            <m:r>
              <m:t>L</m:t>
            </m:r>
          </m:e>
          <m:sub>
            <m:r>
              <m:t>3.6</m:t>
            </m:r>
          </m:sub>
        </m:sSub>
        <m:r>
          <m:t>/</m:t>
        </m:r>
        <m:r>
          <m:t>(</m:t>
        </m:r>
        <m:sSup>
          <m:e>
            <m:r>
              <m:t>10</m:t>
            </m:r>
          </m:e>
          <m:sup>
            <m:r>
              <m:t>10</m:t>
            </m:r>
          </m:sup>
        </m:sSup>
        <m:r>
          <m:t> </m:t>
        </m:r>
        <m:sSub>
          <m:e>
            <m:r>
              <m:t>L</m:t>
            </m:r>
          </m:e>
          <m:sub>
            <m:r>
              <m:t>⊙</m:t>
            </m:r>
            <m:r>
              <m:t>,</m:t>
            </m:r>
            <m:r>
              <m:t>3.6</m:t>
            </m:r>
          </m:sub>
        </m:sSub>
        <m:r>
          <m:t>)</m:t>
        </m:r>
        <m:r>
          <m:t>,</m:t>
        </m:r>
        <m:r>
          <m:t> </m:t>
        </m:r>
        <m:r>
          <m:t> </m:t>
        </m:r>
        <m:r>
          <m:t> </m:t>
        </m:r>
        <m:r>
          <m:t> </m:t>
        </m:r>
        <m:r>
          <m:t> </m:t>
        </m:r>
        <m:r>
          <m:t>d</m:t>
        </m:r>
        <m:r>
          <m:t> </m:t>
        </m:r>
        <m:r>
          <m:t>=</m:t>
        </m:r>
        <m:r>
          <m:t> </m:t>
        </m:r>
        <m:sSub>
          <m:e>
            <m:r>
              <m:t>R</m:t>
            </m:r>
          </m:e>
          <m:sub>
            <m:r>
              <m:t>d</m:t>
            </m:r>
          </m:sub>
        </m:sSub>
        <m:r>
          <m:t>/</m:t>
        </m:r>
        <m:r>
          <m:t>(</m:t>
        </m:r>
        <m:r>
          <m:t>3</m:t>
        </m:r>
        <m:r>
          <m:t> </m:t>
        </m:r>
        <m:r>
          <m:t>k</m:t>
        </m:r>
        <m:r>
          <m:t>p</m:t>
        </m:r>
        <m:r>
          <m:t>c</m:t>
        </m:r>
        <m:r>
          <m:t>)</m:t>
        </m:r>
        <m:r>
          <m:t>.</m:t>
        </m:r>
      </m:oMath>
      <w:r>
        <w:t xml:space="preserve">    (23)</w:t>
      </w:r>
    </w:p>
    <w:p>
      <w:r>
        <w:t>R_d is the measured stellar disk scale length; L₃.₆ is infrared luminosity rather than bolometric power. The density is positive, smooth at the center and proportional to r⁻² in the outskirts. This is a familiar cored isothermal shape with an empirically fitted photometric normalization, not a new fundamental solution inferred from the photon interaction.</w:t>
      </w:r>
    </w:p>
    <w:p>
      <w:pPr>
        <w:pStyle w:val="Equation"/>
      </w:pPr>
      <m:oMath>
        <m:sSub>
          <m:e>
            <m:r>
              <m:t>M</m:t>
            </m:r>
          </m:e>
          <m:sub>
            <m:r>
              <m:t>X</m:t>
            </m:r>
          </m:sub>
        </m:sSub>
        <m:r>
          <m:t>(</m:t>
        </m:r>
        <m:r>
          <m:t>&lt;</m:t>
        </m:r>
        <m:r>
          <m:t>r</m:t>
        </m:r>
        <m:r>
          <m:t>)</m:t>
        </m:r>
        <m:r>
          <m:t> </m:t>
        </m:r>
        <m:r>
          <m:t>=</m:t>
        </m:r>
        <m:r>
          <m:t> </m:t>
        </m:r>
        <m:r>
          <m:t>(</m:t>
        </m:r>
        <m:sSup>
          <m:e>
            <m:sSub>
              <m:e>
                <m:r>
                  <m:t>V</m:t>
                </m:r>
              </m:e>
              <m:sub>
                <m:r>
                  <m:t>X</m:t>
                </m:r>
              </m:sub>
            </m:sSub>
          </m:e>
          <m:sup>
            <m:r>
              <m:t>2</m:t>
            </m:r>
          </m:sup>
        </m:sSup>
        <m:r>
          <m:t>/</m:t>
        </m:r>
        <m:r>
          <m:t>G</m:t>
        </m:r>
        <m:r>
          <m:t>)</m:t>
        </m:r>
        <m:r>
          <m:t>[</m:t>
        </m:r>
        <m:r>
          <m:t>r</m:t>
        </m:r>
        <m:r>
          <m:t> </m:t>
        </m:r>
        <m:r>
          <m:t>−</m:t>
        </m:r>
        <m:r>
          <m:t> </m:t>
        </m:r>
        <m:sSub>
          <m:e>
            <m:r>
              <m:t>r</m:t>
            </m:r>
          </m:e>
          <m:sub>
            <m:r>
              <m:t>c</m:t>
            </m:r>
          </m:sub>
        </m:sSub>
        <m:r>
          <m:t> </m:t>
        </m:r>
        <m:r>
          <m:t>a</m:t>
        </m:r>
        <m:r>
          <m:t>r</m:t>
        </m:r>
        <m:r>
          <m:t>c</m:t>
        </m:r>
        <m:r>
          <m:t>t</m:t>
        </m:r>
        <m:r>
          <m:t>a</m:t>
        </m:r>
        <m:r>
          <m:t>n</m:t>
        </m:r>
        <m:r>
          <m:t>(</m:t>
        </m:r>
        <m:r>
          <m:t>r</m:t>
        </m:r>
        <m:r>
          <m:t>/</m:t>
        </m:r>
        <m:sSub>
          <m:e>
            <m:r>
              <m:t>r</m:t>
            </m:r>
          </m:e>
          <m:sub>
            <m:r>
              <m:t>c</m:t>
            </m:r>
          </m:sub>
        </m:sSub>
        <m:r>
          <m:t>)</m:t>
        </m:r>
        <m:r>
          <m:t>]</m:t>
        </m:r>
        <m:r>
          <m:t>,</m:t>
        </m:r>
      </m:oMath>
      <w:r>
        <w:t xml:space="preserve">    (24)</w:t>
      </w:r>
    </w:p>
    <w:p>
      <w:pPr>
        <w:pStyle w:val="Equation"/>
      </w:pPr>
      <m:oMath>
        <m:sSup>
          <m:e>
            <m:sSub>
              <m:e>
                <m:r>
                  <m:t>v</m:t>
                </m:r>
              </m:e>
              <m:sub>
                <m:r>
                  <m:t>p</m:t>
                </m:r>
                <m:r>
                  <m:t>r</m:t>
                </m:r>
                <m:r>
                  <m:t>e</m:t>
                </m:r>
                <m:r>
                  <m:t>d</m:t>
                </m:r>
              </m:sub>
            </m:sSub>
          </m:e>
          <m:sup>
            <m:r>
              <m:t>2</m:t>
            </m:r>
          </m:sup>
        </m:sSup>
        <m:r>
          <m:t> </m:t>
        </m:r>
        <m:r>
          <m:t>=</m:t>
        </m:r>
        <m:r>
          <m:t> </m:t>
        </m:r>
        <m:sSup>
          <m:e>
            <m:sSub>
              <m:e>
                <m:r>
                  <m:t>v</m:t>
                </m:r>
              </m:e>
              <m:sub>
                <m:r>
                  <m:t>b</m:t>
                </m:r>
              </m:sub>
            </m:sSub>
          </m:e>
          <m:sup>
            <m:r>
              <m:t>2</m:t>
            </m:r>
          </m:sup>
        </m:sSup>
        <m:r>
          <m:t> </m:t>
        </m:r>
        <m:r>
          <m:t>+</m:t>
        </m:r>
        <m:r>
          <m:t> </m:t>
        </m:r>
        <m:sSup>
          <m:e>
            <m:sSub>
              <m:e>
                <m:r>
                  <m:t>V</m:t>
                </m:r>
              </m:e>
              <m:sub>
                <m:r>
                  <m:t>X</m:t>
                </m:r>
              </m:sub>
            </m:sSub>
          </m:e>
          <m:sup>
            <m:r>
              <m:t>2</m:t>
            </m:r>
          </m:sup>
        </m:sSup>
        <m:r>
          <m:t>[</m:t>
        </m:r>
        <m:r>
          <m:t>1</m:t>
        </m:r>
        <m:r>
          <m:t> </m:t>
        </m:r>
        <m:r>
          <m:t>−</m:t>
        </m:r>
        <m:r>
          <m:t> </m:t>
        </m:r>
        <m:r>
          <m:t>(</m:t>
        </m:r>
        <m:sSub>
          <m:e>
            <m:r>
              <m:t>r</m:t>
            </m:r>
          </m:e>
          <m:sub>
            <m:r>
              <m:t>c</m:t>
            </m:r>
          </m:sub>
        </m:sSub>
        <m:r>
          <m:t>/</m:t>
        </m:r>
        <m:r>
          <m:t>r</m:t>
        </m:r>
        <m:r>
          <m:t>)</m:t>
        </m:r>
        <m:r>
          <m:t>a</m:t>
        </m:r>
        <m:r>
          <m:t>r</m:t>
        </m:r>
        <m:r>
          <m:t>c</m:t>
        </m:r>
        <m:r>
          <m:t>t</m:t>
        </m:r>
        <m:r>
          <m:t>a</m:t>
        </m:r>
        <m:r>
          <m:t>n</m:t>
        </m:r>
        <m:r>
          <m:t>(</m:t>
        </m:r>
        <m:r>
          <m:t>r</m:t>
        </m:r>
        <m:r>
          <m:t>/</m:t>
        </m:r>
        <m:sSub>
          <m:e>
            <m:r>
              <m:t>r</m:t>
            </m:r>
          </m:e>
          <m:sub>
            <m:r>
              <m:t>c</m:t>
            </m:r>
          </m:sub>
        </m:sSub>
        <m:r>
          <m:t>)</m:t>
        </m:r>
        <m:r>
          <m:t>]</m:t>
        </m:r>
        <m:r>
          <m:t>.</m:t>
        </m:r>
      </m:oMath>
      <w:r>
        <w:t xml:space="preserve">    (25)</w:t>
      </w:r>
    </w:p>
    <w:p>
      <w:r>
        <w:t>The extra circular-speed contribution rises gently near the center and approaches a constant farther out. A thin spherical shell outside an orbit cannot supply its interior force; the required deposit is extended. Faster circular motion also does not imply automatic infall: angular-momentum transport and dissipation are needed for matter to collect.</w:t>
      </w:r>
    </w:p>
    <w:p>
      <w:pPr>
        <w:pStyle w:val="Equation"/>
      </w:pPr>
      <m:oMath>
        <m:sSub>
          <m:e>
            <m:r>
              <m:t>q</m:t>
            </m:r>
          </m:e>
          <m:sub>
            <m:r>
              <m:t>r</m:t>
            </m:r>
            <m:r>
              <m:t>e</m:t>
            </m:r>
            <m:r>
              <m:t>q</m:t>
            </m:r>
            <m:r>
              <m:t>u</m:t>
            </m:r>
            <m:r>
              <m:t>i</m:t>
            </m:r>
            <m:r>
              <m:t>r</m:t>
            </m:r>
            <m:r>
              <m:t>e</m:t>
            </m:r>
            <m:r>
              <m:t>d</m:t>
            </m:r>
          </m:sub>
        </m:sSub>
        <m:r>
          <m:t>(</m:t>
        </m:r>
        <m:r>
          <m:t>r</m:t>
        </m:r>
        <m:r>
          <m:t>)</m:t>
        </m:r>
        <m:r>
          <m:t> </m:t>
        </m:r>
        <m:r>
          <m:t>=</m:t>
        </m:r>
        <m:r>
          <m:t> </m:t>
        </m:r>
        <m:sSup>
          <m:e>
            <m:sSub>
              <m:e>
                <m:r>
                  <m:t>c</m:t>
                </m:r>
              </m:e>
              <m:sub>
                <m:r>
                  <m:t>0</m:t>
                </m:r>
              </m:sub>
            </m:sSub>
          </m:e>
          <m:sup>
            <m:r>
              <m:t>2</m:t>
            </m:r>
          </m:sup>
        </m:sSup>
        <m:sSup>
          <m:e>
            <m:sSub>
              <m:e>
                <m:r>
                  <m:t>V</m:t>
                </m:r>
              </m:e>
              <m:sub>
                <m:r>
                  <m:t>X</m:t>
                </m:r>
              </m:sub>
            </m:sSub>
          </m:e>
          <m:sup>
            <m:r>
              <m:t>2</m:t>
            </m:r>
          </m:sup>
        </m:sSup>
        <m:r>
          <m:t>/</m:t>
        </m:r>
        <m:r>
          <m:t>[</m:t>
        </m:r>
        <m:r>
          <m:t>4</m:t>
        </m:r>
        <m:r>
          <m:t>π</m:t>
        </m:r>
        <m:r>
          <m:t>G</m:t>
        </m:r>
        <m:r>
          <m:t>η</m:t>
        </m:r>
        <m:sSub>
          <m:e>
            <m:r>
              <m:t>T</m:t>
            </m:r>
          </m:e>
          <m:sub>
            <m:r>
              <m:t>e</m:t>
            </m:r>
            <m:r>
              <m:t>f</m:t>
            </m:r>
            <m:r>
              <m:t>f</m:t>
            </m:r>
          </m:sub>
        </m:sSub>
        <m:r>
          <m:t>(</m:t>
        </m:r>
        <m:sSup>
          <m:e>
            <m:r>
              <m:t>r</m:t>
            </m:r>
          </m:e>
          <m:sup>
            <m:r>
              <m:t>2</m:t>
            </m:r>
          </m:sup>
        </m:sSup>
        <m:r>
          <m:t> </m:t>
        </m:r>
        <m:r>
          <m:t>+</m:t>
        </m:r>
        <m:r>
          <m:t> </m:t>
        </m:r>
        <m:sSup>
          <m:e>
            <m:sSub>
              <m:e>
                <m:r>
                  <m:t>r</m:t>
                </m:r>
              </m:e>
              <m:sub>
                <m:r>
                  <m:t>c</m:t>
                </m:r>
              </m:sub>
            </m:sSub>
          </m:e>
          <m:sup>
            <m:r>
              <m:t>2</m:t>
            </m:r>
          </m:sup>
        </m:sSup>
        <m:r>
          <m:t>)</m:t>
        </m:r>
        <m:r>
          <m:t>]</m:t>
        </m:r>
        <m:r>
          <m:t>.</m:t>
        </m:r>
      </m:oMath>
      <w:r>
        <w:t xml:space="preserve">    (26)</w:t>
      </w:r>
    </w:p>
    <w:p>
      <w:r>
        <w:t>This last relation maps the fitted source into a deposition target for constant supply and retention without redistribution. It is the bridge to the companion mechanism, not a calculation of available supply. The profile requires an eventual cutoff or steepening because its integrated mass otherwise diverges. Neither that boundary nor η and T_eff are determined by the rotation fit.</w:t>
      </w:r>
    </w:p>
    <w:p>
      <w:pPr>
        <w:pStyle w:val="Heading1"/>
        <w:pageBreakBefore/>
        <w:spacing w:before="0"/>
      </w:pPr>
      <w:r>
        <w:t>6. Galaxy tests of the shared profile</w:t>
      </w:r>
    </w:p>
    <w:p>
      <w:r>
        <w:t>The SPARC catalog contains 175 disk galaxies with infrared photometry, rotation curves and baryonic force models [5]. The retained sample has 149 galaxies and 3,150 measurements: quality flag 1 or 2, inclination at least 30 degrees, positive disk scale length and at least five valid radial points. Disk and bulge mass-to-light ratios are held at 0.5 and 0.7; signed gas contributions are retained. Catalog distances and inclinations are fixed.</w:t>
      </w:r>
    </w:p>
    <w:p>
      <w:r>
        <w:t>The existing split contains 89 training, 29 validation and 31 comparison galaxies. Each candidate is fitted on the training subset by minimizing galaxy-equal mean squared log-speed residual. The preferred cored candidate is selected by validation log error, with all coefficients unchanged for comparison. These objects have been examined in earlier work, so the split is exploratory reuse rather than fresh blinded validation. Four constants are shared by every galaxy; no per-object halo parameters are fitted in this test.</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A"/>
          <w:bottom w:val="single" w:sz="4" w:color="D0D5DA"/>
          <w:left w:val="single" w:sz="4" w:color="D0D5DA"/>
          <w:right w:val="single" w:sz="4" w:color="D0D5DA"/>
          <w:insideH w:val="single" w:sz="4" w:color="D0D5DA"/>
          <w:insideV w:val="single" w:sz="4" w:color="D0D5DA"/>
        </w:tblBorders>
      </w:tblPr>
      <w:tblGrid>
        <w:gridCol w:w="3900"/>
        <w:gridCol w:w="1500"/>
        <w:gridCol w:w="1980"/>
        <w:gridCol w:w="1980"/>
      </w:tblGrid>
      <w:tr>
        <w:trPr>
          <w:cantSplit/>
          <w:tblHeader/>
        </w:trPr>
        <w:tc>
          <w:tcPr>
            <w:tcW w:type="dxa" w:w="3900"/>
            <w:vAlign w:val="center"/>
            <w:shd w:fill="F2F4F7"/>
          </w:tcPr>
          <w:p>
            <w:pPr>
              <w:pStyle w:val="TableText"/>
            </w:pPr>
            <w:r>
              <w:rPr>
                <w:b/>
              </w:rPr>
              <w:t>Candidate</w:t>
            </w:r>
          </w:p>
        </w:tc>
        <w:tc>
          <w:tcPr>
            <w:tcW w:type="dxa" w:w="1500"/>
            <w:vAlign w:val="center"/>
            <w:shd w:fill="F2F4F7"/>
          </w:tcPr>
          <w:p>
            <w:pPr>
              <w:pStyle w:val="TableText"/>
              <w:jc w:val="center"/>
            </w:pPr>
            <w:r>
              <w:rPr>
                <w:b/>
              </w:rPr>
              <w:t>Constants</w:t>
            </w:r>
          </w:p>
        </w:tc>
        <w:tc>
          <w:tcPr>
            <w:tcW w:type="dxa" w:w="1980"/>
            <w:vAlign w:val="center"/>
            <w:shd w:fill="F2F4F7"/>
          </w:tcPr>
          <w:p>
            <w:pPr>
              <w:pStyle w:val="TableText"/>
              <w:jc w:val="center"/>
            </w:pPr>
            <w:r>
              <w:rPr>
                <w:b/>
              </w:rPr>
              <w:t>Validation</w:t>
              <w:br/>
              <w:t>km/s</w:t>
            </w:r>
          </w:p>
        </w:tc>
        <w:tc>
          <w:tcPr>
            <w:tcW w:type="dxa" w:w="1980"/>
            <w:vAlign w:val="center"/>
            <w:shd w:fill="F2F4F7"/>
          </w:tcPr>
          <w:p>
            <w:pPr>
              <w:pStyle w:val="TableText"/>
              <w:jc w:val="center"/>
            </w:pPr>
            <w:r>
              <w:rPr>
                <w:b/>
              </w:rPr>
              <w:t>Comparison</w:t>
              <w:br/>
              <w:t>km/s</w:t>
            </w:r>
          </w:p>
        </w:tc>
      </w:tr>
      <w:tr>
        <w:trPr>
          <w:cantSplit/>
        </w:trPr>
        <w:tc>
          <w:tcPr>
            <w:tcW w:type="dxa" w:w="3900"/>
            <w:vAlign w:val="center"/>
          </w:tcPr>
          <w:p>
            <w:pPr>
              <w:pStyle w:val="TableText"/>
            </w:pPr>
            <w:r>
              <w:t>Baryons only</w:t>
            </w:r>
          </w:p>
        </w:tc>
        <w:tc>
          <w:tcPr>
            <w:tcW w:type="dxa" w:w="1500"/>
            <w:vAlign w:val="center"/>
          </w:tcPr>
          <w:p>
            <w:pPr>
              <w:pStyle w:val="TableText"/>
              <w:jc w:val="center"/>
            </w:pPr>
            <w:r>
              <w:t>0</w:t>
            </w:r>
          </w:p>
        </w:tc>
        <w:tc>
          <w:tcPr>
            <w:tcW w:type="dxa" w:w="1980"/>
            <w:vAlign w:val="center"/>
          </w:tcPr>
          <w:p>
            <w:pPr>
              <w:pStyle w:val="TableText"/>
              <w:jc w:val="center"/>
            </w:pPr>
            <w:r>
              <w:t>58.22</w:t>
            </w:r>
          </w:p>
        </w:tc>
        <w:tc>
          <w:tcPr>
            <w:tcW w:type="dxa" w:w="1980"/>
            <w:vAlign w:val="center"/>
          </w:tcPr>
          <w:p>
            <w:pPr>
              <w:pStyle w:val="TableText"/>
              <w:jc w:val="center"/>
            </w:pPr>
            <w:r>
              <w:t>47.77</w:t>
            </w:r>
          </w:p>
        </w:tc>
      </w:tr>
      <w:tr>
        <w:trPr>
          <w:cantSplit/>
        </w:trPr>
        <w:tc>
          <w:tcPr>
            <w:tcW w:type="dxa" w:w="3900"/>
            <w:vAlign w:val="center"/>
          </w:tcPr>
          <w:p>
            <w:pPr>
              <w:pStyle w:val="TableText"/>
            </w:pPr>
            <w:r>
              <w:t>Area-motivated core</w:t>
            </w:r>
          </w:p>
        </w:tc>
        <w:tc>
          <w:tcPr>
            <w:tcW w:type="dxa" w:w="1500"/>
            <w:vAlign w:val="center"/>
          </w:tcPr>
          <w:p>
            <w:pPr>
              <w:pStyle w:val="TableText"/>
              <w:jc w:val="center"/>
            </w:pPr>
            <w:r>
              <w:t>2</w:t>
            </w:r>
          </w:p>
        </w:tc>
        <w:tc>
          <w:tcPr>
            <w:tcW w:type="dxa" w:w="1980"/>
            <w:vAlign w:val="center"/>
          </w:tcPr>
          <w:p>
            <w:pPr>
              <w:pStyle w:val="TableText"/>
              <w:jc w:val="center"/>
            </w:pPr>
            <w:r>
              <w:t>32.94</w:t>
            </w:r>
          </w:p>
        </w:tc>
        <w:tc>
          <w:tcPr>
            <w:tcW w:type="dxa" w:w="1980"/>
            <w:vAlign w:val="center"/>
          </w:tcPr>
          <w:p>
            <w:pPr>
              <w:pStyle w:val="TableText"/>
              <w:jc w:val="center"/>
            </w:pPr>
            <w:r>
              <w:t>23.19</w:t>
            </w:r>
          </w:p>
        </w:tc>
      </w:tr>
      <w:tr>
        <w:trPr>
          <w:cantSplit/>
        </w:trPr>
        <w:tc>
          <w:tcPr>
            <w:tcW w:type="dxa" w:w="3900"/>
            <w:vAlign w:val="center"/>
          </w:tcPr>
          <w:p>
            <w:pPr>
              <w:pStyle w:val="TableText"/>
            </w:pPr>
            <w:r>
              <w:t>Luminosity-scaled core</w:t>
            </w:r>
          </w:p>
        </w:tc>
        <w:tc>
          <w:tcPr>
            <w:tcW w:type="dxa" w:w="1500"/>
            <w:vAlign w:val="center"/>
          </w:tcPr>
          <w:p>
            <w:pPr>
              <w:pStyle w:val="TableText"/>
              <w:jc w:val="center"/>
            </w:pPr>
            <w:r>
              <w:t>3</w:t>
            </w:r>
          </w:p>
        </w:tc>
        <w:tc>
          <w:tcPr>
            <w:tcW w:type="dxa" w:w="1980"/>
            <w:vAlign w:val="center"/>
          </w:tcPr>
          <w:p>
            <w:pPr>
              <w:pStyle w:val="TableText"/>
              <w:jc w:val="center"/>
            </w:pPr>
            <w:r>
              <w:t>28.10</w:t>
            </w:r>
          </w:p>
        </w:tc>
        <w:tc>
          <w:tcPr>
            <w:tcW w:type="dxa" w:w="1980"/>
            <w:vAlign w:val="center"/>
          </w:tcPr>
          <w:p>
            <w:pPr>
              <w:pStyle w:val="TableText"/>
              <w:jc w:val="center"/>
            </w:pPr>
            <w:r>
              <w:t>15.75</w:t>
            </w:r>
          </w:p>
        </w:tc>
      </w:tr>
      <w:tr>
        <w:trPr>
          <w:cantSplit/>
        </w:trPr>
        <w:tc>
          <w:tcPr>
            <w:tcW w:type="dxa" w:w="3900"/>
            <w:vAlign w:val="center"/>
          </w:tcPr>
          <w:p>
            <w:pPr>
              <w:pStyle w:val="TableText"/>
            </w:pPr>
            <w:r>
              <w:t>Luminosity + size core</w:t>
            </w:r>
          </w:p>
        </w:tc>
        <w:tc>
          <w:tcPr>
            <w:tcW w:type="dxa" w:w="1500"/>
            <w:vAlign w:val="center"/>
          </w:tcPr>
          <w:p>
            <w:pPr>
              <w:pStyle w:val="TableText"/>
              <w:jc w:val="center"/>
            </w:pPr>
            <w:r>
              <w:t>4</w:t>
            </w:r>
          </w:p>
        </w:tc>
        <w:tc>
          <w:tcPr>
            <w:tcW w:type="dxa" w:w="1980"/>
            <w:vAlign w:val="center"/>
          </w:tcPr>
          <w:p>
            <w:pPr>
              <w:pStyle w:val="TableText"/>
              <w:jc w:val="center"/>
            </w:pPr>
            <w:r>
              <w:t>26.00</w:t>
            </w:r>
          </w:p>
        </w:tc>
        <w:tc>
          <w:tcPr>
            <w:tcW w:type="dxa" w:w="1980"/>
            <w:vAlign w:val="center"/>
          </w:tcPr>
          <w:p>
            <w:pPr>
              <w:pStyle w:val="TableText"/>
              <w:jc w:val="center"/>
            </w:pPr>
            <w:r>
              <w:t>14.76</w:t>
            </w:r>
          </w:p>
        </w:tc>
      </w:tr>
      <w:tr>
        <w:trPr>
          <w:cantSplit/>
        </w:trPr>
        <w:tc>
          <w:tcPr>
            <w:tcW w:type="dxa" w:w="3900"/>
            <w:vAlign w:val="center"/>
          </w:tcPr>
          <w:p>
            <w:pPr>
              <w:pStyle w:val="TableText"/>
            </w:pPr>
            <w:r>
              <w:t>Acceleration response</w:t>
            </w:r>
          </w:p>
        </w:tc>
        <w:tc>
          <w:tcPr>
            <w:tcW w:type="dxa" w:w="1500"/>
            <w:vAlign w:val="center"/>
          </w:tcPr>
          <w:p>
            <w:pPr>
              <w:pStyle w:val="TableText"/>
              <w:jc w:val="center"/>
            </w:pPr>
            <w:r>
              <w:t>2</w:t>
            </w:r>
          </w:p>
        </w:tc>
        <w:tc>
          <w:tcPr>
            <w:tcW w:type="dxa" w:w="1980"/>
            <w:vAlign w:val="center"/>
          </w:tcPr>
          <w:p>
            <w:pPr>
              <w:pStyle w:val="TableText"/>
              <w:jc w:val="center"/>
            </w:pPr>
            <w:r>
              <w:t>27.38</w:t>
            </w:r>
          </w:p>
        </w:tc>
        <w:tc>
          <w:tcPr>
            <w:tcW w:type="dxa" w:w="1980"/>
            <w:vAlign w:val="center"/>
          </w:tcPr>
          <w:p>
            <w:pPr>
              <w:pStyle w:val="TableText"/>
              <w:jc w:val="center"/>
            </w:pPr>
            <w:r>
              <w:t>17.20</w:t>
            </w:r>
          </w:p>
        </w:tc>
      </w:tr>
    </w:tbl>
    <w:p>
      <w:pPr>
        <w:pStyle w:val="SourceNote"/>
      </w:pPr>
      <w:r>
        <w:t>Table 1. Galaxy-equal velocity RMSE. Candidate selection used log-speed error, not this linear-speed score. Source data: SPARC [5]; calculations: companion_deposition_fit.</w:t>
      </w:r>
    </w:p>
    <w:p>
      <w:r>
        <w:t>The preferred cored model has validation/comparison log-speed RMSE 0.09046/0.07040 dex. The three-parameter luminosity-only model gives 0.09849/0.07719 dex, so the size term yields a modest additional improvement whose statistical significance has not been established. No parameter posterior or full observational-error likelihood was computed. The results remain conditional on fixed stellar mass estimates, distances, inclinations and sample selection.</w:t>
      </w:r>
    </w:p>
    <w:p>
      <w:pPr>
        <w:pStyle w:val="Heading2"/>
      </w:pPr>
      <w:r>
        <w:t>How this changes the earlier deposition picture</w:t>
      </w:r>
    </w:p>
    <w:p>
      <w:r>
        <w:t>An earlier descriptive exercise fitted one amplitude to every full curve. Its broad cored profile achieved 12.29 km/s over all 149 galaxies, versus 48.64 for a deposit restricted to the outermost tenth of each measured radius. Those scores were in-sample shape comparisons. Table 1 is a stronger check because the comparison galaxies receive amplitudes and core sizes from shared photometric rules. The different samples and fitting procedures mean the 12.29 and 14.76 scores are not directly interchangeable.</w:t>
      </w:r>
    </w:p>
    <w:p>
      <w:r>
        <w:t>Across galaxies, an earlier outer-mass regression favored collecting area over luminosity or volume, giving M_X ≈ 1.39 × 10⁸ M⊙(R_max/kpc)². R_max was an observing limit, not a measured capture boundary. The new formula replaces that limit with disk size and supplies an interior radial distribution. Its success supports a useful empirical target; it does not identify companion waves as the physical source.</w:t>
      </w:r>
    </w:p>
    <w:p>
      <w:pPr>
        <w:pStyle w:val="Heading1"/>
        <w:pageBreakBefore/>
        <w:spacing w:before="0"/>
      </w:pPr>
      <w:r>
        <w:t>7. Redshift and brightness evidence</w:t>
      </w:r>
    </w:p>
    <w:p>
      <w:r>
        <w:t>The original nearby experiment used Cosmicflows-4 surface-brightness-fluctuation distances [1]. After excluding every pilot group, 164 representatives were assigned to 104 training, 35 validation and 25 final-test groups by fixed sky tiles. The original exponential transport law included its own brightness-distance inversion. Its final-test redshift RMSE was 412.441 km/s, versus 411.934 for a specified expanding reference. These are cΔz units, not physical recession speeds. The difference is inconclusive; calibration and correlated-flow assumptions remain.</w:t>
      </w:r>
    </w:p>
    <w:p>
      <w:r>
        <w:t>The higher-redshift analysis uses 960 distinct Pantheon+ supernovae at z_HD ≥ 0.1 [2–3]. Absolute magnitude is fixed from 77 Cepheid-host rows representing 43 supernovae, yielding M = −19.24888454. The full released statistical-plus-systematic covariance, including calibrator cross-correlations, is retained. The implementation uses D_L = (1 + z_HEL)R(z_HD). This observer-frame convention and the released standardization are conditional inputs, not a reanalysis of raw light curves in the new theory.</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A"/>
          <w:bottom w:val="single" w:sz="4" w:color="D0D5DA"/>
          <w:left w:val="single" w:sz="4" w:color="D0D5DA"/>
          <w:right w:val="single" w:sz="4" w:color="D0D5DA"/>
          <w:insideH w:val="single" w:sz="4" w:color="D0D5DA"/>
          <w:insideV w:val="single" w:sz="4" w:color="D0D5DA"/>
        </w:tblBorders>
      </w:tblPr>
      <w:tblGrid>
        <w:gridCol w:w="4920"/>
        <w:gridCol w:w="2640"/>
        <w:gridCol w:w="1800"/>
      </w:tblGrid>
      <w:tr>
        <w:trPr>
          <w:cantSplit/>
          <w:tblHeader/>
        </w:trPr>
        <w:tc>
          <w:tcPr>
            <w:tcW w:type="dxa" w:w="4920"/>
            <w:vAlign w:val="center"/>
            <w:shd w:fill="F2F4F7"/>
          </w:tcPr>
          <w:p>
            <w:pPr>
              <w:pStyle w:val="TableText"/>
            </w:pPr>
            <w:r>
              <w:rPr>
                <w:b/>
              </w:rPr>
              <w:t>Brightness candidate</w:t>
            </w:r>
          </w:p>
        </w:tc>
        <w:tc>
          <w:tcPr>
            <w:tcW w:type="dxa" w:w="2640"/>
            <w:vAlign w:val="center"/>
            <w:shd w:fill="F2F4F7"/>
          </w:tcPr>
          <w:p>
            <w:pPr>
              <w:pStyle w:val="TableText"/>
              <w:jc w:val="center"/>
            </w:pPr>
            <w:r>
              <w:rPr>
                <w:b/>
              </w:rPr>
              <w:t>Added fit parameters</w:t>
            </w:r>
          </w:p>
        </w:tc>
        <w:tc>
          <w:tcPr>
            <w:tcW w:type="dxa" w:w="1800"/>
            <w:vAlign w:val="center"/>
            <w:shd w:fill="F2F4F7"/>
          </w:tcPr>
          <w:p>
            <w:pPr>
              <w:pStyle w:val="TableText"/>
              <w:jc w:val="center"/>
            </w:pPr>
            <w:r>
              <w:rPr>
                <w:b/>
              </w:rPr>
              <w:t>χ²</w:t>
            </w:r>
          </w:p>
        </w:tc>
      </w:tr>
      <w:tr>
        <w:trPr>
          <w:cantSplit/>
        </w:trPr>
        <w:tc>
          <w:tcPr>
            <w:tcW w:type="dxa" w:w="4920"/>
            <w:vAlign w:val="center"/>
          </w:tcPr>
          <w:p>
            <w:pPr>
              <w:pStyle w:val="TableText"/>
            </w:pPr>
            <w:r>
              <w:t>Original flat exponential</w:t>
            </w:r>
          </w:p>
        </w:tc>
        <w:tc>
          <w:tcPr>
            <w:tcW w:type="dxa" w:w="2640"/>
            <w:vAlign w:val="center"/>
          </w:tcPr>
          <w:p>
            <w:pPr>
              <w:pStyle w:val="TableText"/>
              <w:jc w:val="center"/>
            </w:pPr>
            <w:r>
              <w:t>0</w:t>
            </w:r>
          </w:p>
        </w:tc>
        <w:tc>
          <w:tcPr>
            <w:tcW w:type="dxa" w:w="1800"/>
            <w:vAlign w:val="center"/>
          </w:tcPr>
          <w:p>
            <w:pPr>
              <w:pStyle w:val="TableText"/>
              <w:jc w:val="center"/>
            </w:pPr>
            <w:r>
              <w:t>898.475</w:t>
            </w:r>
          </w:p>
        </w:tc>
      </w:tr>
      <w:tr>
        <w:trPr>
          <w:cantSplit/>
        </w:trPr>
        <w:tc>
          <w:tcPr>
            <w:tcW w:type="dxa" w:w="4920"/>
            <w:vAlign w:val="center"/>
          </w:tcPr>
          <w:p>
            <w:pPr>
              <w:pStyle w:val="TableText"/>
            </w:pPr>
            <w:r>
              <w:t>Constant magnitude offset</w:t>
            </w:r>
          </w:p>
        </w:tc>
        <w:tc>
          <w:tcPr>
            <w:tcW w:type="dxa" w:w="2640"/>
            <w:vAlign w:val="center"/>
          </w:tcPr>
          <w:p>
            <w:pPr>
              <w:pStyle w:val="TableText"/>
              <w:jc w:val="center"/>
            </w:pPr>
            <w:r>
              <w:t>1</w:t>
            </w:r>
          </w:p>
        </w:tc>
        <w:tc>
          <w:tcPr>
            <w:tcW w:type="dxa" w:w="1800"/>
            <w:vAlign w:val="center"/>
          </w:tcPr>
          <w:p>
            <w:pPr>
              <w:pStyle w:val="TableText"/>
              <w:jc w:val="center"/>
            </w:pPr>
            <w:r>
              <w:t>871.552</w:t>
            </w:r>
          </w:p>
        </w:tc>
      </w:tr>
      <w:tr>
        <w:trPr>
          <w:cantSplit/>
        </w:trPr>
        <w:tc>
          <w:tcPr>
            <w:tcW w:type="dxa" w:w="4920"/>
            <w:vAlign w:val="center"/>
          </w:tcPr>
          <w:p>
            <w:pPr>
              <w:pStyle w:val="TableText"/>
            </w:pPr>
            <w:r>
              <w:t>Negative curvature</w:t>
            </w:r>
          </w:p>
        </w:tc>
        <w:tc>
          <w:tcPr>
            <w:tcW w:type="dxa" w:w="2640"/>
            <w:vAlign w:val="center"/>
          </w:tcPr>
          <w:p>
            <w:pPr>
              <w:pStyle w:val="TableText"/>
              <w:jc w:val="center"/>
            </w:pPr>
            <w:r>
              <w:t>1</w:t>
            </w:r>
          </w:p>
        </w:tc>
        <w:tc>
          <w:tcPr>
            <w:tcW w:type="dxa" w:w="1800"/>
            <w:vAlign w:val="center"/>
          </w:tcPr>
          <w:p>
            <w:pPr>
              <w:pStyle w:val="TableText"/>
              <w:jc w:val="center"/>
            </w:pPr>
            <w:r>
              <w:t>873.041</w:t>
            </w:r>
          </w:p>
        </w:tc>
      </w:tr>
      <w:tr>
        <w:trPr>
          <w:cantSplit/>
        </w:trPr>
        <w:tc>
          <w:tcPr>
            <w:tcW w:type="dxa" w:w="4920"/>
            <w:vAlign w:val="center"/>
          </w:tcPr>
          <w:p>
            <w:pPr>
              <w:pStyle w:val="TableText"/>
            </w:pPr>
            <w:r>
              <w:t>Evolving history</w:t>
            </w:r>
          </w:p>
        </w:tc>
        <w:tc>
          <w:tcPr>
            <w:tcW w:type="dxa" w:w="2640"/>
            <w:vAlign w:val="center"/>
          </w:tcPr>
          <w:p>
            <w:pPr>
              <w:pStyle w:val="TableText"/>
              <w:jc w:val="center"/>
            </w:pPr>
            <w:r>
              <w:t>1</w:t>
            </w:r>
          </w:p>
        </w:tc>
        <w:tc>
          <w:tcPr>
            <w:tcW w:type="dxa" w:w="1800"/>
            <w:vAlign w:val="center"/>
          </w:tcPr>
          <w:p>
            <w:pPr>
              <w:pStyle w:val="TableText"/>
              <w:jc w:val="center"/>
            </w:pPr>
            <w:r>
              <w:t>850.201</w:t>
            </w:r>
          </w:p>
        </w:tc>
      </w:tr>
      <w:tr>
        <w:trPr>
          <w:cantSplit/>
        </w:trPr>
        <w:tc>
          <w:tcPr>
            <w:tcW w:type="dxa" w:w="4920"/>
            <w:vAlign w:val="center"/>
          </w:tcPr>
          <w:p>
            <w:pPr>
              <w:pStyle w:val="TableText"/>
            </w:pPr>
            <w:r>
              <w:t>History + magnitude offset</w:t>
            </w:r>
          </w:p>
        </w:tc>
        <w:tc>
          <w:tcPr>
            <w:tcW w:type="dxa" w:w="2640"/>
            <w:vAlign w:val="center"/>
          </w:tcPr>
          <w:p>
            <w:pPr>
              <w:pStyle w:val="TableText"/>
              <w:jc w:val="center"/>
            </w:pPr>
            <w:r>
              <w:t>2</w:t>
            </w:r>
          </w:p>
        </w:tc>
        <w:tc>
          <w:tcPr>
            <w:tcW w:type="dxa" w:w="1800"/>
            <w:vAlign w:val="center"/>
          </w:tcPr>
          <w:p>
            <w:pPr>
              <w:pStyle w:val="TableText"/>
              <w:jc w:val="center"/>
            </w:pPr>
            <w:r>
              <w:t>840.647</w:t>
            </w:r>
          </w:p>
        </w:tc>
      </w:tr>
      <w:tr>
        <w:trPr>
          <w:cantSplit/>
        </w:trPr>
        <w:tc>
          <w:tcPr>
            <w:tcW w:type="dxa" w:w="4920"/>
            <w:vAlign w:val="center"/>
          </w:tcPr>
          <w:p>
            <w:pPr>
              <w:pStyle w:val="TableText"/>
            </w:pPr>
            <w:r>
              <w:t>Fixed expanding reference</w:t>
            </w:r>
          </w:p>
        </w:tc>
        <w:tc>
          <w:tcPr>
            <w:tcW w:type="dxa" w:w="2640"/>
            <w:vAlign w:val="center"/>
          </w:tcPr>
          <w:p>
            <w:pPr>
              <w:pStyle w:val="TableText"/>
              <w:jc w:val="center"/>
            </w:pPr>
            <w:r>
              <w:t>0 in this comparison</w:t>
            </w:r>
          </w:p>
        </w:tc>
        <w:tc>
          <w:tcPr>
            <w:tcW w:type="dxa" w:w="1800"/>
            <w:vAlign w:val="center"/>
          </w:tcPr>
          <w:p>
            <w:pPr>
              <w:pStyle w:val="TableText"/>
              <w:jc w:val="center"/>
            </w:pPr>
            <w:r>
              <w:t>838.483</w:t>
            </w:r>
          </w:p>
        </w:tc>
      </w:tr>
    </w:tbl>
    <w:p>
      <w:pPr>
        <w:pStyle w:val="SourceNote"/>
      </w:pPr>
      <w:r>
        <w:t>Table 2. Same 960-supernova residual vector and covariance. The expanding reference uses fixed parameters and is not optimized. Later temporal fits reuse inspected data.</w:t>
      </w:r>
    </w:p>
    <w:p>
      <w:r>
        <w:t>The history-only optimum is p = 0.263906, with conditional Δχ² = 1 interval 0.226425–0.301224 while κ is fixed. The highest-minus-lowest redshift-bin residual decreases from 0.2249 to 0.0283 mag. A residual offset remains, and even the history-plus-offset candidate has not surpassed the fixed expanding benchmark. The original κ changed by about 9% between nearby pilot and expanded samples, so its universality is not established.</w:t>
      </w:r>
    </w:p>
    <w:p>
      <w:r>
        <w:t>The released DES duration products give b = 1.00288 ± 0.00483 in width ∝ (1 + z)ᵇ for 1,504 event averages [4]. Their reference templates already incorporate dilation assumptions; this is a processed-data consistency check, not an independent raw-light-curve discovery. The propagation model meets the whole-signal requirement conditionally. Neither the duration nor brightness fits tests photon-to-companion conversion or measures a companion flux.</w:t>
      </w:r>
    </w:p>
    <w:p>
      <w:pPr>
        <w:pStyle w:val="Heading1"/>
        <w:pageBreakBefore/>
        <w:spacing w:before="0"/>
      </w:pPr>
      <w:r>
        <w:t>8. Energy supply and transfer to clusters</w:t>
      </w:r>
    </w:p>
    <w:p>
      <w:r>
        <w:t>A deposit profile can match gravity while requiring more energy than the specified sources provide. At η = 1 the inferred energy is E_d = c₀²M_X. The earlier budget used L_bol = Bℓ₃.₆L⊙, where ℓ₃.₆ is the numerical catalog luminosity in solar infrared units. B = 1 is an explicit bolometric proxy, not measured total luminosity. Assume constant illumination for 10 billion years with perfect capture and retention.</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A"/>
          <w:bottom w:val="single" w:sz="4" w:color="D0D5DA"/>
          <w:left w:val="single" w:sz="4" w:color="D0D5DA"/>
          <w:right w:val="single" w:sz="4" w:color="D0D5DA"/>
          <w:insideH w:val="single" w:sz="4" w:color="D0D5DA"/>
          <w:insideV w:val="single" w:sz="4" w:color="D0D5DA"/>
        </w:tblBorders>
      </w:tblPr>
      <w:tblGrid>
        <w:gridCol w:w="5160"/>
        <w:gridCol w:w="4200"/>
      </w:tblGrid>
      <w:tr>
        <w:trPr>
          <w:cantSplit/>
          <w:tblHeader/>
        </w:trPr>
        <w:tc>
          <w:tcPr>
            <w:tcW w:type="dxa" w:w="5160"/>
            <w:vAlign w:val="center"/>
            <w:shd w:fill="F2F4F7"/>
          </w:tcPr>
          <w:p>
            <w:pPr>
              <w:pStyle w:val="TableText"/>
            </w:pPr>
            <w:r>
              <w:rPr>
                <w:b/>
              </w:rPr>
              <w:t>Median galaxy quantity</w:t>
            </w:r>
          </w:p>
        </w:tc>
        <w:tc>
          <w:tcPr>
            <w:tcW w:type="dxa" w:w="4200"/>
            <w:vAlign w:val="center"/>
            <w:shd w:fill="F2F4F7"/>
          </w:tcPr>
          <w:p>
            <w:pPr>
              <w:pStyle w:val="TableText"/>
              <w:jc w:val="center"/>
            </w:pPr>
            <w:r>
              <w:rPr>
                <w:b/>
              </w:rPr>
              <w:t>Conditional requirement</w:t>
            </w:r>
          </w:p>
        </w:tc>
      </w:tr>
      <w:tr>
        <w:trPr>
          <w:cantSplit/>
        </w:trPr>
        <w:tc>
          <w:tcPr>
            <w:tcW w:type="dxa" w:w="5160"/>
            <w:vAlign w:val="center"/>
          </w:tcPr>
          <w:p>
            <w:pPr>
              <w:pStyle w:val="TableText"/>
            </w:pPr>
            <w:r>
              <w:t>Extra mass inside last measured radius</w:t>
            </w:r>
          </w:p>
        </w:tc>
        <w:tc>
          <w:tcPr>
            <w:tcW w:type="dxa" w:w="4200"/>
            <w:vAlign w:val="center"/>
          </w:tcPr>
          <w:p>
            <w:pPr>
              <w:pStyle w:val="TableText"/>
              <w:jc w:val="center"/>
            </w:pPr>
            <w:r>
              <w:t>2.36 × 10¹⁰ M⊙</w:t>
            </w:r>
          </w:p>
        </w:tc>
      </w:tr>
      <w:tr>
        <w:trPr>
          <w:cantSplit/>
        </w:trPr>
        <w:tc>
          <w:tcPr>
            <w:tcW w:type="dxa" w:w="5160"/>
            <w:vAlign w:val="center"/>
          </w:tcPr>
          <w:p>
            <w:pPr>
              <w:pStyle w:val="TableText"/>
            </w:pPr>
            <w:r>
              <w:t>Required energy / all proxy starlight</w:t>
            </w:r>
          </w:p>
        </w:tc>
        <w:tc>
          <w:tcPr>
            <w:tcW w:type="dxa" w:w="4200"/>
            <w:vAlign w:val="center"/>
          </w:tcPr>
          <w:p>
            <w:pPr>
              <w:pStyle w:val="TableText"/>
              <w:jc w:val="center"/>
            </w:pPr>
            <w:r>
              <w:t>5,775</w:t>
            </w:r>
          </w:p>
        </w:tc>
      </w:tr>
      <w:tr>
        <w:trPr>
          <w:cantSplit/>
        </w:trPr>
        <w:tc>
          <w:tcPr>
            <w:tcW w:type="dxa" w:w="5160"/>
            <w:vAlign w:val="center"/>
          </w:tcPr>
          <w:p>
            <w:pPr>
              <w:pStyle w:val="TableText"/>
            </w:pPr>
            <w:r>
              <w:t>Required energy / locally converted supply</w:t>
            </w:r>
          </w:p>
        </w:tc>
        <w:tc>
          <w:tcPr>
            <w:tcW w:type="dxa" w:w="4200"/>
            <w:vAlign w:val="center"/>
          </w:tcPr>
          <w:p>
            <w:pPr>
              <w:pStyle w:val="TableText"/>
              <w:jc w:val="center"/>
            </w:pPr>
            <w:r>
              <w:t>1.72 × 10⁹</w:t>
            </w:r>
          </w:p>
        </w:tc>
      </w:tr>
      <w:tr>
        <w:trPr>
          <w:cantSplit/>
        </w:trPr>
        <w:tc>
          <w:tcPr>
            <w:tcW w:type="dxa" w:w="5160"/>
            <w:vAlign w:val="center"/>
          </w:tcPr>
          <w:p>
            <w:pPr>
              <w:pStyle w:val="TableText"/>
            </w:pPr>
            <w:r>
              <w:t>Required external companion density</w:t>
            </w:r>
          </w:p>
        </w:tc>
        <w:tc>
          <w:tcPr>
            <w:tcW w:type="dxa" w:w="4200"/>
            <w:vAlign w:val="center"/>
          </w:tcPr>
          <w:p>
            <w:pPr>
              <w:pStyle w:val="TableText"/>
              <w:jc w:val="center"/>
            </w:pPr>
            <w:r>
              <w:t>9.45 × 10⁻¹¹ J/m³</w:t>
            </w:r>
          </w:p>
        </w:tc>
      </w:tr>
    </w:tbl>
    <w:p>
      <w:pPr>
        <w:pStyle w:val="SourceNote"/>
      </w:pPr>
      <w:r>
        <w:t>Table 3. Budget diagnostic from 149 galaxies. Local conversion used one R_max path and the original present-rate exponential approximation; it is not a reconstructed radiation history. External density assumes v_c = c₀ and unit capture.</w:t>
      </w:r>
    </w:p>
    <w:p>
      <w:r>
        <w:t>Increasing B to 10 lowers the full-conversion ratio to about 577, without removing the shortage. Modest stellar mass-to-light changes have a smaller effect. External illumination, a much longer luminous history or η &gt; 1 can change the budget, but none is established by fitting gravity. Companion redshifting before capture further reduces energy retained in that channel. A constant-size universe may be older than the assumed duration, but finite residence time, stellar fuel and background energy balance still matter.</w:t>
      </w:r>
    </w:p>
    <w:p>
      <w:pPr>
        <w:pStyle w:val="Heading2"/>
      </w:pPr>
      <w:r>
        <w:t>What the cluster comparisons do and do not say</w:t>
      </w:r>
    </w:p>
    <w:p>
      <w:r>
        <w:t>Published X-COP hydrostatic masses and gas fractions support an 11-cluster transfer diagnostic [6–7]. Hot gas is included as baryonic matter; a 2% stellar fraction is a central sensitivity assumption. HydraA lacks a matching gas-fraction row and A2029 has differing mass values in the source tables, so neither is silently combined. The published geometry and hydrostatic assumptions remain.</w:t>
      </w:r>
    </w:p>
    <w:p>
      <w:r>
        <w:t>The galaxy outer-area normalization predicts less than the required cluster source by a median factor 2.21. A separate galaxy-fitted acceleration formula, g_X = 0.70275 a_ref(g_b/a_ref)^0.46246 with a_ref = 10⁻¹⁰ m/s², requires a median factor 1.90, ranging from 1.70 to 2.42. These are different models, not two estimates of one parameter. Allowing greater capture, incoming intensity, retention or response could supply the difference; an independent rule must predict it.</w:t>
      </w:r>
    </w:p>
    <w:p>
      <w:r>
        <w:t>The preferred cored formula uses stellar disk size, which has no directly equivalent measurement in the available cluster table. It has not been tested on clusters by substituting R_500 for R_d. Neither diagnostic fits cluster radial profiles or lensing. A unified mechanism therefore needs a capture law expressed in physical variables meaningful in both galaxies and clusters, rather than one unconstrained normalization per object.</w:t>
      </w:r>
    </w:p>
    <w:p>
      <w:pPr>
        <w:pStyle w:val="Heading1"/>
        <w:pageBreakBefore/>
        <w:spacing w:before="0"/>
      </w:pPr>
      <w:r>
        <w:t>9. Matter clocks and shared gravitational waves</w:t>
      </w:r>
    </w:p>
    <w:p>
      <w:r>
        <w:t>The working propagation law is measurable only relative to material standards. For a general atomic frequency ν_A(t), spectral comparison gives S = nₒν_A,ₒ/(nₑν_A,ₑ). A cavity with mode number j and mirror separation L has ν_C = jc₀/(2nL), if its light obeys the same nondispersive rule. Exact constancy of the cavity-to-atom ratio throughout the history therefore implies:</w:t>
      </w:r>
    </w:p>
    <w:p>
      <w:pPr>
        <w:pStyle w:val="Equation"/>
      </w:pPr>
      <m:oMath>
        <m:r>
          <m:t>n</m:t>
        </m:r>
        <m:r>
          <m:t>L</m:t>
        </m:r>
        <m:sSub>
          <m:e>
            <m:r>
              <m:t>ν</m:t>
            </m:r>
          </m:e>
          <m:sub>
            <m:r>
              <m:t>A</m:t>
            </m:r>
          </m:sub>
        </m:sSub>
        <m:r>
          <m:t> </m:t>
        </m:r>
        <m:r>
          <m:t>=</m:t>
        </m:r>
        <m:r>
          <m:t> </m:t>
        </m:r>
        <m:r>
          <m:t>c</m:t>
        </m:r>
        <m:r>
          <m:t>o</m:t>
        </m:r>
        <m:r>
          <m:t>n</m:t>
        </m:r>
        <m:r>
          <m:t>s</m:t>
        </m:r>
        <m:r>
          <m:t>t</m:t>
        </m:r>
        <m:r>
          <m:t>a</m:t>
        </m:r>
        <m:r>
          <m:t>n</m:t>
        </m:r>
        <m:r>
          <m:t>t</m:t>
        </m:r>
        <m:r>
          <m:t> </m:t>
        </m:r>
        <m:r>
          <m:t> </m:t>
        </m:r>
        <m:r>
          <m:t> </m:t>
        </m:r>
        <m:r>
          <m:t> </m:t>
        </m:r>
        <m:r>
          <m:t> </m:t>
        </m:r>
        <m:r>
          <m:t>⇒</m:t>
        </m:r>
        <m:r>
          <m:t> </m:t>
        </m:r>
        <m:r>
          <m:t> </m:t>
        </m:r>
        <m:r>
          <m:t> </m:t>
        </m:r>
        <m:r>
          <m:t> </m:t>
        </m:r>
        <m:r>
          <m:t> </m:t>
        </m:r>
        <m:r>
          <m:t>S</m:t>
        </m:r>
        <m:r>
          <m:t> </m:t>
        </m:r>
        <m:r>
          <m:t>=</m:t>
        </m:r>
        <m:r>
          <m:t> </m:t>
        </m:r>
        <m:sSub>
          <m:e>
            <m:r>
              <m:t>L</m:t>
            </m:r>
          </m:e>
          <m:sub>
            <m:r>
              <m:t>e</m:t>
            </m:r>
          </m:sub>
        </m:sSub>
        <m:r>
          <m:t>/</m:t>
        </m:r>
        <m:sSub>
          <m:e>
            <m:r>
              <m:t>L</m:t>
            </m:r>
          </m:e>
          <m:sub>
            <m:r>
              <m:t>o</m:t>
            </m:r>
          </m:sub>
        </m:sSub>
        <m:r>
          <m:t>.</m:t>
        </m:r>
      </m:oMath>
      <w:r>
        <w:t xml:space="preserve">    (27)</w:t>
      </w:r>
    </w:p>
    <w:p>
      <w:r>
        <w:t>Consequently fixed material lengths and exact cavity/atom protection cancel the intended homogeneous redshift. Shrinking rods can preserve a redshift but change the operational meaning of nonexpansion. This is a conditional identity, not a universal theorem excluding temporal mechanisms. The unified proposal cannot assert simultaneously that all clock ratios and rods remain exactly fixed and that this universal cavity propagation changes.</w:t>
      </w:r>
    </w:p>
    <w:p>
      <w:r>
        <w:t>The earlier explicit electromagnetic action gives ε_r = Zn and μ_r = n/Z. Choosing Z = 1/n preserves the leading Coulomb interaction but yields μ_r = n², changing magnetic and hyperfine behavior. The attempted interaction therefore fails intended exact atomic invariance. Magnetic compensation addressed a leading term only; it did not prove protection of optical, hyperfine, nuclear, cavity and radiative corrections together.</w:t>
      </w:r>
    </w:p>
    <w:p>
      <w:r>
        <w:t>With fixed atoms and cavity length, today’s predicted fractional drift is −γ = −2.45 × 10⁻¹⁸ s⁻¹, regardless of p. A later comparison with four reported silicon-cavity secular drifts found magnitudes approximately 9–47 times smaller, with one sign opposite to the model [8]. These are published summaries, not a raw joint likelihood. Unknown instrumental drifts can mask a common term; no exclusion significance is assigned. Improving the past field history does not remove this present-day issue.</w:t>
      </w:r>
    </w:p>
    <w:p>
      <w:pPr>
        <w:pStyle w:val="Heading2"/>
      </w:pPr>
      <w:r>
        <w:t>Shared paths for light and tensor waves</w:t>
      </w:r>
    </w:p>
    <w:p>
      <w:pPr>
        <w:pStyle w:val="Equation"/>
      </w:pPr>
      <m:oMath>
        <m:sSub>
          <m:e>
            <m:r>
              <m:t>v</m:t>
            </m:r>
          </m:e>
          <m:sub>
            <m:r>
              <m:t>γ</m:t>
            </m:r>
          </m:sub>
        </m:sSub>
        <m:r>
          <m:t>(</m:t>
        </m:r>
        <m:r>
          <m:t>t</m:t>
        </m:r>
        <m:r>
          <m:t>,</m:t>
        </m:r>
        <m:r>
          <m:t>x</m:t>
        </m:r>
        <m:r>
          <m:t>)</m:t>
        </m:r>
        <m:r>
          <m:t> </m:t>
        </m:r>
        <m:r>
          <m:t>=</m:t>
        </m:r>
        <m:r>
          <m:t> </m:t>
        </m:r>
        <m:sSub>
          <m:e>
            <m:r>
              <m:t>v</m:t>
            </m:r>
          </m:e>
          <m:sub>
            <m:r>
              <m:t>T</m:t>
            </m:r>
          </m:sub>
        </m:sSub>
        <m:r>
          <m:t>(</m:t>
        </m:r>
        <m:r>
          <m:t>t</m:t>
        </m:r>
        <m:r>
          <m:t>,</m:t>
        </m:r>
        <m:r>
          <m:t>x</m:t>
        </m:r>
        <m:r>
          <m:t>)</m:t>
        </m:r>
        <m:r>
          <m:t> </m:t>
        </m:r>
        <m:r>
          <m:t>=</m:t>
        </m:r>
        <m:r>
          <m:t> </m:t>
        </m:r>
        <m:sSub>
          <m:e>
            <m:r>
              <m:t>c</m:t>
            </m:r>
          </m:e>
          <m:sub>
            <m:r>
              <m:t>0</m:t>
            </m:r>
          </m:sub>
        </m:sSub>
        <m:r>
          <m:t>/</m:t>
        </m:r>
        <m:r>
          <m:t>n</m:t>
        </m:r>
        <m:r>
          <m:t>(</m:t>
        </m:r>
        <m:r>
          <m:t>t</m:t>
        </m:r>
        <m:r>
          <m:t>,</m:t>
        </m:r>
        <m:r>
          <m:t>x</m:t>
        </m:r>
        <m:r>
          <m:t>)</m:t>
        </m:r>
        <m:r>
          <m:t>.</m:t>
        </m:r>
      </m:oMath>
      <w:r>
        <w:t xml:space="preserve">    (28)</w:t>
      </w:r>
    </w:p>
    <w:p>
      <w:r>
        <w:t>The principal working requirement is a common characteristic cone for photons and observable tensor gravitational waves, including integrated path delays. Equality today alone is insufficient. The earlier minimal Einstein-sector choice kept tensor waves at c₀ and produced an illustrative delay of about 656,000 years at 40 Mpc, incompatible with the near-coincident GW170817/gamma-ray event under that setup [9]. Shared propagation removes that differential delay by construction; emission delays can remain.</w:t>
      </w:r>
    </w:p>
    <w:p>
      <w:r>
        <w:t>A quadratic tensor wave operator can be assigned this speed, but its nonlinear gravitational constraints, amplitude transport and coupling to matter have not been derived. The companion channel may share the same cone without being the observed tensor mode. Equal speeds do not prove equal coupling, capture or luminosity distance. A complete interaction must explain all three sectors rather than identify them by name.</w:t>
      </w:r>
    </w:p>
    <w:p>
      <w:pPr>
        <w:pStyle w:val="Heading1"/>
        <w:pageBreakBefore/>
        <w:spacing w:before="0"/>
      </w:pPr>
      <w:r>
        <w:t>10. Field dynamics and a nonexpanding background</w:t>
      </w:r>
    </w:p>
    <w:p>
      <w:r>
        <w:t>The propagation history is not yet a solution of the unified companion system. An earlier homogeneous radiation–field model supplied a useful energy-conserving reconstruction, with kinetic coefficient K &gt; 0 and radiation invariant U:</w:t>
      </w:r>
    </w:p>
    <w:p>
      <w:pPr>
        <w:pStyle w:val="Equation"/>
      </w:pPr>
      <m:oMath>
        <m:sSub>
          <m:e>
            <m:r>
              <m:t>u</m:t>
            </m:r>
          </m:e>
          <m:sub>
            <m:r>
              <m:t>γ</m:t>
            </m:r>
          </m:sub>
        </m:sSub>
        <m:r>
          <m:t> </m:t>
        </m:r>
        <m:r>
          <m:t>=</m:t>
        </m:r>
        <m:r>
          <m:t> </m:t>
        </m:r>
        <m:r>
          <m:t>U</m:t>
        </m:r>
        <m:r>
          <m:t>/</m:t>
        </m:r>
        <m:r>
          <m:t>n</m:t>
        </m:r>
        <m:r>
          <m:t>,</m:t>
        </m:r>
        <m:r>
          <m:t> </m:t>
        </m:r>
        <m:r>
          <m:t> </m:t>
        </m:r>
        <m:r>
          <m:t> </m:t>
        </m:r>
        <m:r>
          <m:t> </m:t>
        </m:r>
        <m:r>
          <m:t> </m:t>
        </m:r>
        <m:r>
          <m:t>K</m:t>
        </m:r>
        <m:r>
          <m:t>(</m:t>
        </m:r>
        <m:sSup>
          <m:e>
            <m:r>
              <m:t>d</m:t>
            </m:r>
          </m:e>
          <m:sup>
            <m:r>
              <m:t>2</m:t>
            </m:r>
          </m:sup>
        </m:sSup>
        <m:r>
          <m:t>n</m:t>
        </m:r>
        <m:r>
          <m:t>/</m:t>
        </m:r>
        <m:r>
          <m:t>d</m:t>
        </m:r>
        <m:sSup>
          <m:e>
            <m:r>
              <m:t>t</m:t>
            </m:r>
          </m:e>
          <m:sup>
            <m:r>
              <m:t>2</m:t>
            </m:r>
          </m:sup>
        </m:sSup>
        <m:r>
          <m:t>)</m:t>
        </m:r>
        <m:r>
          <m:t> </m:t>
        </m:r>
        <m:r>
          <m:t>+</m:t>
        </m:r>
        <m:r>
          <m:t> </m:t>
        </m:r>
        <m:r>
          <m:t>V</m:t>
        </m:r>
        <m:r>
          <m:t>′</m:t>
        </m:r>
        <m:r>
          <m:t>(</m:t>
        </m:r>
        <m:r>
          <m:t>n</m:t>
        </m:r>
        <m:r>
          <m:t>)</m:t>
        </m:r>
        <m:r>
          <m:t> </m:t>
        </m:r>
        <m:r>
          <m:t>=</m:t>
        </m:r>
        <m:r>
          <m:t> </m:t>
        </m:r>
        <m:sSub>
          <m:e>
            <m:r>
              <m:t>u</m:t>
            </m:r>
          </m:e>
          <m:sub>
            <m:r>
              <m:t>γ</m:t>
            </m:r>
          </m:sub>
        </m:sSub>
        <m:r>
          <m:t>/</m:t>
        </m:r>
        <m:r>
          <m:t>n</m:t>
        </m:r>
        <m:r>
          <m:t>,</m:t>
        </m:r>
      </m:oMath>
      <w:r>
        <w:t xml:space="preserve">    (29)</w:t>
      </w:r>
    </w:p>
    <w:p>
      <w:pPr>
        <w:pStyle w:val="Equation"/>
      </w:pPr>
      <m:oMath>
        <m:r>
          <m:t>V</m:t>
        </m:r>
        <m:r>
          <m:t>(</m:t>
        </m:r>
        <m:r>
          <m:t>n</m:t>
        </m:r>
        <m:r>
          <m:t>)</m:t>
        </m:r>
        <m:r>
          <m:t> </m:t>
        </m:r>
        <m:r>
          <m:t>=</m:t>
        </m:r>
        <m:r>
          <m:t> </m:t>
        </m:r>
        <m:sSub>
          <m:e>
            <m:r>
              <m:t>V</m:t>
            </m:r>
          </m:e>
          <m:sub>
            <m:r>
              <m:t>0</m:t>
            </m:r>
          </m:sub>
        </m:sSub>
        <m:r>
          <m:t> </m:t>
        </m:r>
        <m:r>
          <m:t>−</m:t>
        </m:r>
        <m:r>
          <m:t> </m:t>
        </m:r>
        <m:r>
          <m:t>(</m:t>
        </m:r>
        <m:r>
          <m:t>K</m:t>
        </m:r>
        <m:sSup>
          <m:e>
            <m:r>
              <m:t>γ</m:t>
            </m:r>
          </m:e>
          <m:sup>
            <m:r>
              <m:t>2</m:t>
            </m:r>
          </m:sup>
        </m:sSup>
        <m:r>
          <m:t>/</m:t>
        </m:r>
        <m:r>
          <m:t>2</m:t>
        </m:r>
        <m:r>
          <m:t>)</m:t>
        </m:r>
        <m:sSup>
          <m:e>
            <m:r>
              <m:t>n</m:t>
            </m:r>
          </m:e>
          <m:sup>
            <m:r>
              <m:t>2</m:t>
            </m:r>
            <m:r>
              <m:t>p</m:t>
            </m:r>
          </m:sup>
        </m:sSup>
        <m:r>
          <m:t> </m:t>
        </m:r>
        <m:r>
          <m:t>−</m:t>
        </m:r>
        <m:r>
          <m:t> </m:t>
        </m:r>
        <m:r>
          <m:t>U</m:t>
        </m:r>
        <m:r>
          <m:t>/</m:t>
        </m:r>
        <m:r>
          <m:t>n</m:t>
        </m:r>
        <m:r>
          <m:t>.</m:t>
        </m:r>
      </m:oMath>
      <w:r>
        <w:t xml:space="preserve">    (30)</w:t>
      </w:r>
    </w:p>
    <w:p>
      <w:r>
        <w:t>It sustains ṅ = γnᵖ and conserves Kṅ²/2 + V + uγ. The potential is tuned to a particular radiation background. It is unbounded below outside a restricted domain, and its positive restricted curvature does not establish coupled stability. Perturbing the radiation supply in later synthetic tests changes the trajectory; large changes can reverse it. Those are mathematical experiments, not observed cosmological perturbations.</w:t>
      </w:r>
    </w:p>
    <w:p>
      <w:r>
        <w:t>Crucially, this reconstruction sends photon energy directly to the timing field. Section 4 now routes it through companions and deposits. Its source terms therefore change, and the old potential cannot be imported as an already demonstrated background solution of the unified model. The packet accounting in Section 3 closes an energy partition, not the dynamical equation of the driving field.</w:t>
      </w:r>
    </w:p>
    <w:p>
      <w:pPr>
        <w:pStyle w:val="Equation"/>
      </w:pPr>
      <m:oMath>
        <m:r>
          <m:t>n</m:t>
        </m:r>
        <m:r>
          <m:t>(</m:t>
        </m:r>
        <m:r>
          <m:t>t</m:t>
        </m:r>
        <m:r>
          <m:t>)</m:t>
        </m:r>
        <m:r>
          <m:t> </m:t>
        </m:r>
        <m:r>
          <m:t>=</m:t>
        </m:r>
        <m:r>
          <m:t> </m:t>
        </m:r>
        <m:r>
          <m:t>[</m:t>
        </m:r>
        <m:r>
          <m:t>1</m:t>
        </m:r>
        <m:r>
          <m:t> </m:t>
        </m:r>
        <m:r>
          <m:t>+</m:t>
        </m:r>
        <m:r>
          <m:t> </m:t>
        </m:r>
        <m:r>
          <m:t>(</m:t>
        </m:r>
        <m:r>
          <m:t>1</m:t>
        </m:r>
        <m:r>
          <m:t> </m:t>
        </m:r>
        <m:r>
          <m:t>−</m:t>
        </m:r>
        <m:r>
          <m:t> </m:t>
        </m:r>
        <m:r>
          <m:t>p</m:t>
        </m:r>
        <m:r>
          <m:t>)</m:t>
        </m:r>
        <m:r>
          <m:t>γ</m:t>
        </m:r>
        <m:r>
          <m:t>(</m:t>
        </m:r>
        <m:r>
          <m:t>t</m:t>
        </m:r>
        <m:r>
          <m:t> </m:t>
        </m:r>
        <m:r>
          <m:t>−</m:t>
        </m:r>
        <m:r>
          <m:t> </m:t>
        </m:r>
        <m:sSub>
          <m:e>
            <m:r>
              <m:t>t</m:t>
            </m:r>
          </m:e>
          <m:sub>
            <m:r>
              <m:t>o</m:t>
            </m:r>
          </m:sub>
        </m:sSub>
        <m:r>
          <m:t>)</m:t>
        </m:r>
        <m:sSup>
          <m:e>
            <m:r>
              <m:t>]</m:t>
            </m:r>
          </m:e>
          <m:sup>
            <m:r>
              <m:t>1</m:t>
            </m:r>
            <m:r>
              <m:t>/</m:t>
            </m:r>
            <m:r>
              <m:t>(</m:t>
            </m:r>
            <m:r>
              <m:t>1</m:t>
            </m:r>
            <m:r>
              <m:t>−</m:t>
            </m:r>
            <m:r>
              <m:t>p</m:t>
            </m:r>
            <m:r>
              <m:t>)</m:t>
            </m:r>
          </m:sup>
        </m:sSup>
        <m:r>
          <m:t>.</m:t>
        </m:r>
      </m:oMath>
      <w:r>
        <w:t xml:space="preserve">    (31)</w:t>
      </w:r>
    </w:p>
    <w:p>
      <w:r>
        <w:t>The prescribed positive branch reaches n = 0 about 17.57 billion material-clock years before today at the fitted p. That is the limit of this effective history, not a derived Big Bang or an age measurement. An eternal static universe would need a different earlier history, boundary conditions or dynamics. The data analyzed here do not select that extension.</w:t>
      </w:r>
    </w:p>
    <w:p>
      <w:pPr>
        <w:pStyle w:val="Heading2"/>
      </w:pPr>
      <w:r>
        <w:t>Why static gravity remains a separate requirement</w:t>
      </w:r>
    </w:p>
    <w:p>
      <w:r>
        <w:t>In the earlier flat homogeneous Einstein-gravity construction, ordinary baryons, radiation and a rolling canonical scalar give positive total ρ + pressure in units c₀ = 1. A flat static solution requires that sum to vanish. Adjusting a constant potential alone does not solve it. Negative curvature improves one empirical brightness fit but demands an even less ordinary stress balance and has no demonstrated stable compatible static completion here [10].</w:t>
      </w:r>
    </w:p>
    <w:p>
      <w:r>
        <w:t>A local fitted halo can coexist mathematically with a prescribed static background, but that does not solve the field equations generating the background. The free companion bath, stored deposits, timing sector and ordinary matter all contribute stress-energy. A final action must conserve their total stress-energy, share photon/tensor characteristics, yield the local force law and admit the required background without unstable or negative-kinetic modes. No such complete action is claimed in this revision.</w:t>
      </w:r>
    </w:p>
    <w:p>
      <w:pPr>
        <w:pStyle w:val="Heading1"/>
        <w:pageBreakBefore/>
        <w:spacing w:before="0"/>
      </w:pPr>
      <w:r>
        <w:t>11. Thermal radiation and retained alternatives</w:t>
      </w:r>
    </w:p>
    <w:p>
      <w:r>
        <w:t>The unified proposal does not assume an expanding origin for the microwave background. Under homogeneous adiabatic frequency rescaling, an initially Planckian occupation distribution remains Planckian with T proportional to 1/n. In the stipulated material units, fixed-volume mode counting gives uγ proportional to n³T⁴, hence uγ proportional to 1/n. This preserves an existing thermal spectrum; it neither thermalizes arbitrary starlight nor selects today’s temperature.</w:t>
      </w:r>
    </w:p>
    <w:p>
      <w:r>
        <w:t>The earlier 43-channel FIRAS residual analysis found no significant distortion of the fitted form, with diagonal χ² about 45.02 for 40 degrees of freedom [11]. A source-excitation comparison at redshift 6.34 gave T = 20.005 K from T₀(1 + z), within the published 16.4–30.2 K interval [12]. Both inherit processed-data and material-physics assumptions. Neither identifies the companion channel or predicts the radiation’s origin.</w:t>
      </w:r>
    </w:p>
    <w:p>
      <w:r>
        <w:t>Depositing companion energy may heat matter or return energy to radiation, but such feedback is a new collision term. A trial thermal reservoir could approximate the monopole only by introducing a fitted temperature and rapid relaxation; applying that rate to optical signals erased distant-source contrast. Frequency-selective exchange remains an unproved possibility. It is not a solved CMB component of the present theory.</w:t>
      </w:r>
    </w:p>
    <w:p>
      <w:pPr>
        <w:pStyle w:val="Heading2"/>
      </w:pPr>
      <w:r>
        <w:t>Geometry and directional structure</w:t>
      </w:r>
    </w:p>
    <w:p>
      <w:r>
        <w:t>Positive and negative curvature, rotation, repeated circulation and a preferred axis remain documented alternatives. They are not simultaneously adopted ingredients. Passive circulation in a sphere does not itself establish thermal equilibrium. Rotation is different from spatial curvature, and a Gödel-type geometry requires direction-dependent ray calculations and a compatible definition of the evolving field.</w:t>
      </w:r>
    </w:p>
    <w:p>
      <w:r>
        <w:t>A homogeneous index has no preferred sky direction and does not generate the observed anisotropy or polarization from a uniform unpolarized bath. The quadrupole–octopole alignment, if retained as a fictional-universe target, requires additional directional dynamics. Earlier binned Planck checks were not an orientation-sensitive map fit [13]. No CMB-origin, topology or axis claim follows from the successful rotation profile.</w:t>
      </w:r>
    </w:p>
    <w:p>
      <w:pPr>
        <w:pStyle w:val="Heading2"/>
      </w:pPr>
      <w:r>
        <w:t>What the next common interaction must predict</w:t>
      </w:r>
    </w:p>
    <w:p>
      <w:r>
        <w:t>The next model should calculate companion production, its phase and momentum, absorption and redistribution from a shared interaction. It must then predict the deposit normalization from independently estimated radiation supply and retention, using variables applicable to clusters as well as disks. The same model must calculate optical, hyperfine and cavity ratios, photon/tensor propagation, and the metric potentials governing lensing. Rotation constrains the potential acting on matter; it does not independently determine the second potential entering light deflection.</w:t>
      </w:r>
    </w:p>
    <w:p>
      <w:pPr>
        <w:pStyle w:val="Heading1"/>
        <w:pageBreakBefore/>
        <w:spacing w:before="0"/>
      </w:pPr>
      <w:r>
        <w:t>12. Conclusion and evidence boundaries</w:t>
      </w:r>
    </w:p>
    <w:p>
      <w:r>
        <w:t>Temporal–companion transport is now expressed as one proposed cycle: material emission, coherent temporal redshift, companion excitation, propagation and capture, stored energy, and gravitational response. The equations link the modules without treating energy as lost or counting it twice. This is a coherent effective research framework; the energy-transfer balances are not a substitute for a microscopic action or a solved static cosmology.</w:t>
      </w:r>
    </w:p>
    <w:p>
      <w:r>
        <w:t>Two empirical components warrant further work. The evolving index history substantially improves the original fixed exponential brightness law while preserving duration stretching and a distinct angular-distance prediction. The shared cored deposit profile predicts galaxy rotation with much smaller residuals than baryons alone and avoids fitting a separate halo to each comparison object. Neither has established a numerical relationship between κ and the gravitational normalization. The fixed expanding brightness benchmark remains better, and a common galaxy–cluster deposition law is still missing.</w:t>
      </w:r>
    </w:p>
    <w:p>
      <w:r>
        <w:t>The immediate task is to derive and test the interface between these components: can the photon energy transfer, a calculable companion bath and a physically motivated capture/retention law generate the fitted profile with acceptable material-clock effects? A fitted q_required specifies the answer needed from that calculation; it does not supply it. Energy availability, pre-capture gravitation, escape and heating must all be accounted for. Independent angular, lensing and clock tests can distinguish a useful physical theory from a flexible halo reconstruction.</w:t>
      </w:r>
    </w:p>
    <w:p>
      <w:pPr>
        <w:pStyle w:val="Heading2"/>
      </w:pPr>
      <w:r>
        <w:t>Scope of this rewrite</w:t>
      </w:r>
    </w:p>
    <w:p>
      <w:r>
        <w:t>This version replaces the chronological accumulation of candidate appendices with a unified presentation. Earlier results are summarized where they constrain the main model, and their derivation archives remain the historical record. The new companion packet partition is a conditional algebraic construction; no new astronomical observations were fitted during this editorial integration. The redshift, galaxy and cluster analyses retain their original assumptions and cannot be described as a single joint likelihood.</w:t>
      </w:r>
    </w:p>
    <w:p>
      <w:pPr>
        <w:pStyle w:val="Heading2"/>
      </w:pPr>
      <w:r>
        <w:t>Reproducibility and numerical record</w:t>
      </w:r>
    </w:p>
    <w:p>
      <w:r>
        <w:t>The original 164-group records and 25 comparison predictions remain in redshift_paper_data.zip and all_164_groups.csv. The full supernova covariance and calibration analysis are in shared_interaction_test.zip and focused_history_test.zip. Atomic identities and homogeneous field calculations are preserved in minimal_clock_interaction.zip, theory_closure.zip and nature_tests.zip. The companion-wave budgets and cluster transcription are in companion_wave_test.zip; the shared deposition fits, fixed split, predictions and data hashes are in companion_deposition_fit.zip. These archives use processed observations or labeled synthetic calculations, not new blinded measurements.</w:t>
      </w:r>
    </w:p>
    <w:p>
      <w:r>
        <w:t>The main fitted coefficients are γ = 7.7315 × 10⁻¹¹ yr⁻¹, κ = γ/c₀, p = 0.263906, r_c/R_d = 1.0723, and the luminosity/size normalization and exponents in Section 5. Their rounded forms are for reading; the calculation archives retain full precision. No values of η, α_c, τ, D or the external companion density have been independently measured by these fits.</w:t>
      </w:r>
    </w:p>
    <w:p>
      <w:pPr>
        <w:pStyle w:val="Heading1"/>
        <w:pageBreakBefore/>
        <w:spacing w:before="0"/>
      </w:pPr>
      <w:r>
        <w:t>References</w:t>
      </w:r>
    </w:p>
    <w:p>
      <w:pPr>
        <w:pStyle w:val="SourceNote"/>
      </w:pPr>
      <w:r>
        <w:t>[1] Tully, R. B., et al. Cosmicflows-4 (2023). arXiv:2209.11238. https://arxiv.org/abs/2209.11238. Surface-brightness-fluctuation calibration context: Blakeslee et al. (2021), https://arxiv.org/abs/2101.02221.</w:t>
      </w:r>
    </w:p>
    <w:p>
      <w:pPr>
        <w:pStyle w:val="SourceNote"/>
      </w:pPr>
      <w:r>
        <w:t>[2] Brout, D., et al. The Pantheon+ Analysis: Cosmological Constraints (2022). https://arxiv.org/abs/2202.04077.</w:t>
      </w:r>
    </w:p>
    <w:p>
      <w:pPr>
        <w:pStyle w:val="SourceNote"/>
      </w:pPr>
      <w:r>
        <w:t>[3] PantheonPlusSH0ES DataRelease, distances and covariance. Commit c447f0fea703fcd0fff57de5000947b5ca81286b. https://github.com/PantheonPlusSH0ES/DataRelease.</w:t>
      </w:r>
    </w:p>
    <w:p>
      <w:pPr>
        <w:pStyle w:val="SourceNote"/>
      </w:pPr>
      <w:r>
        <w:t>[4] White, R. M. T., et al. DES Supernova Program: Slow supernovae show cosmological time dilation out to z ~ 1 (2024). https://arxiv.org/abs/2406.05050. Derived products: https://github.com/ryanwhite1/DES-Time-Dilation.</w:t>
      </w:r>
    </w:p>
    <w:p>
      <w:pPr>
        <w:pStyle w:val="SourceNote"/>
      </w:pPr>
      <w:r>
        <w:t>[5] Lelli, F., McGaugh, S. S., and Schombert, J. M. SPARC: Mass Models for 175 Disk Galaxies (2016). https://arxiv.org/abs/1606.09251. Data: https://astroweb.cwru.edu/SPARC/.</w:t>
      </w:r>
    </w:p>
    <w:p>
      <w:pPr>
        <w:pStyle w:val="SourceNote"/>
      </w:pPr>
      <w:r>
        <w:t>[6] Ettori, S., et al. Hydrostatic mass profiles in X-COP galaxy clusters (2019), Table 1. https://arxiv.org/abs/1805.00035.</w:t>
      </w:r>
    </w:p>
    <w:p>
      <w:pPr>
        <w:pStyle w:val="SourceNote"/>
      </w:pPr>
      <w:r>
        <w:t>[7] Eckert, D., et al. Non-thermal pressure support in X-COP galaxy clusters (2019), Table 2. https://arxiv.org/abs/1805.00034.</w:t>
      </w:r>
    </w:p>
    <w:p>
      <w:pPr>
        <w:pStyle w:val="SourceNote"/>
      </w:pPr>
      <w:r>
        <w:t>[8] Lee et al., silicon-cavity secular-drift study, arXiv:2509.13503v1; published in Physical Review Letters 136, 033801 (2026). https://arxiv.org/html/2509.13503v1. DOI:10.1103/zgrm-cjbb. Summary comparison only; no raw drift likelihood.</w:t>
      </w:r>
    </w:p>
    <w:p>
      <w:pPr>
        <w:pStyle w:val="SourceNote"/>
      </w:pPr>
      <w:r>
        <w:t>[9] LIGO Scientific Collaboration et al. Gravitational Waves and Gamma-rays from a Binary Neutron Star Merger: GW170817 and GRB170817A (2017). https://arxiv.org/abs/1710.05834.</w:t>
      </w:r>
    </w:p>
    <w:p>
      <w:pPr>
        <w:pStyle w:val="SourceNote"/>
      </w:pPr>
      <w:r>
        <w:t>[10] Barrow, J. D., et al. On the Stability of the Einstein Static Universe (2003). https://arxiv.org/abs/gr-qc/0302094. Background context, not a solution of the present model.</w:t>
      </w:r>
    </w:p>
    <w:p>
      <w:pPr>
        <w:pStyle w:val="SourceNote"/>
      </w:pPr>
      <w:r>
        <w:t>[11] NASA LAMBDA, FIRAS monopole spectrum and residual products. https://lambda.gsfc.nasa.gov/product/cobe/firas_monopole_spect.html. Temperature: Fixsen (2009), https://arxiv.org/abs/0911.1955.</w:t>
      </w:r>
    </w:p>
    <w:p>
      <w:pPr>
        <w:pStyle w:val="SourceNote"/>
      </w:pPr>
      <w:r>
        <w:t>[12] Riechers, D. A., et al. Microwave Background Temperature at a Redshift of 6.34 from H₂O Absorption (2022). https://arxiv.org/abs/2202.00693.</w:t>
      </w:r>
    </w:p>
    <w:p>
      <w:pPr>
        <w:pStyle w:val="SourceNote"/>
      </w:pPr>
      <w:r>
        <w:t>[13] Planck Collaboration. Planck 2018 results. VII. Isotropy and Statistics of the CMB. https://arxiv.org/abs/1906.02552. Bandpower products: https://pla.esac.esa.int/.</w:t>
      </w:r>
    </w:p>
    <w:p>
      <w:pPr>
        <w:pStyle w:val="SourceNote"/>
      </w:pPr>
      <w:r>
        <w:t>[14] Lange, R., et al. Improved Limits for Violations of Local Position Invariance from Atomic Clock Comparisons (2021). DOI:10.1103/PhysRevLett.126.011102. Atomic-coupling context for earlier candidate tests.</w:t>
      </w:r>
    </w:p>
    <w:p>
      <w:pPr>
        <w:pStyle w:val="SourceNote"/>
      </w:pPr>
      <w:r>
        <w:t>[15] Ortega-Gomez, A., et al. A tutorial on the conservation of momentum in photonic time-varying media (2023). https://arxiv.org/abs/2301.03333. Engineered-media analogy; not cosmic validation.</w:t>
      </w:r>
    </w:p>
    <w:p>
      <w:pPr>
        <w:pStyle w:val="SourceNote"/>
      </w:pPr>
      <w:r>
        <w:t>[16] Internal analysis record, 8–9 September 2026: nearby redshift experiment; focused_history_test; minimal_clock_interaction; theory_closure; nature_tests; companion_wave_test; companion_deposition_fit. Distributed reports, data, code and results; not peer-reviewed publications.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Version 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TEMPORAL–COMPANION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100" w:after="140"/>
    </w:pPr>
    <w:rPr>
      <w:rFonts w:ascii="Cambria Math" w:hAnsi="Cambria Math"/>
      <w:sz w:val="22"/>
    </w:rPr>
  </w:style>
  <w:style w:type="paragraph" w:customStyle="1" w:styleId="TableText">
    <w:name w:val="Table Text"/>
    <w:basedOn w:val="Normal"/>
    <w:pPr>
      <w:spacing w:after="0"/>
    </w:pPr>
    <w:rPr>
      <w:sz w:val="20"/>
    </w:rPr>
  </w:style>
  <w:style w:type="paragraph" w:customStyle="1" w:styleId="SourceNote">
    <w:name w:val="Source Note"/>
    <w:basedOn w:val="Normal"/>
    <w:pPr>
      <w:spacing w:before="80" w:after="80"/>
    </w:pPr>
    <w:rPr>
      <w:sz w:val="18"/>
    </w:rPr>
  </w:style>
  <w:style w:type="paragraph" w:customStyle="1" w:styleId="Running">
    <w:name w:val="Running"/>
    <w:basedOn w:val="Normal"/>
    <w:rPr>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Temporal–Companion Transport in a Nonexpanding Universe</dc:title>
  <dc:subject>Unified effective redshift, companion-energy and gravitational-deposition hypothesis</dc:subject>
  <dc:creator>python-docx</dc:creator>
  <cp:keywords/>
  <dc:description>Version 9. Major rewrite; prior version retained in version history. Empirical fits distinguished from hypothetical interaction.</dc:description>
  <cp:lastModifiedBy/>
  <cp:revision>1</cp:revision>
  <dcterms:created xsi:type="dcterms:W3CDTF">2013-12-23T23:15:00Z</dcterms:created>
  <dcterms:modified xsi:type="dcterms:W3CDTF">2013-12-23T23:15:00Z</dcterms:modified>
  <cp:category/>
</cp:coreProperties>
</file>