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left"/>
      </w:pPr>
      <w:r>
        <w:rPr>
          <w:rFonts w:ascii="Calibri" w:hAnsi="Calibri" w:eastAsia="Microsoft YaHei"/>
          <w:b/>
          <w:color w:val="2E74B5"/>
          <w:sz w:val="40"/>
        </w:rPr>
        <w:t>Chengdu Public Sector Stable Path Report</w:t>
      </w:r>
    </w:p>
    <w:p>
      <w:pPr>
        <w:pStyle w:val="Subtitle"/>
        <w:spacing w:after="240"/>
      </w:pPr>
      <w:r>
        <w:rPr>
          <w:rFonts w:ascii="Calibri" w:hAnsi="Calibri" w:eastAsia="Microsoft YaHei"/>
          <w:color w:val="5C6874"/>
          <w:sz w:val="24"/>
        </w:rPr>
        <w:t>成都公务员、事业编、国企信息化与稳定路线决策报告</w:t>
      </w:r>
    </w:p>
    <w:tbl>
      <w:tblPr>
        <w:tblStyle w:val="TableGrid"/>
        <w:tblW w:type="dxa" w:w="9360"/>
        <w:jc w:val="center"/>
        <w:tblLook w:firstColumn="1" w:firstRow="1" w:lastColumn="0" w:lastRow="0" w:noHBand="0" w:noVBand="1" w:val="04A0"/>
        <w:tblInd w:w="120" w:type="dxa"/>
      </w:tblPr>
      <w:tblGrid>
        <w:gridCol w:w="2700"/>
        <w:gridCol w:w="6660"/>
      </w:tblGrid>
      <w:tr>
        <w:tc>
          <w:tcPr>
            <w:tcW w:type="dxa" w:w="2700"/>
            <w:shd w:fill="E8EEF5"/>
          </w:tcPr>
          <w:p>
            <w:r>
              <w:rPr>
                <w:rFonts w:ascii="Calibri" w:hAnsi="Calibri" w:eastAsia="Microsoft YaHei"/>
                <w:b/>
                <w:color w:val="202D3C"/>
              </w:rPr>
              <w:t>报告用途</w:t>
            </w:r>
          </w:p>
        </w:tc>
        <w:tc>
          <w:tcPr>
            <w:tcW w:type="dxa" w:w="6660"/>
          </w:tcPr>
          <w:p>
            <w:r>
              <w:rPr>
                <w:rFonts w:ascii="Calibri" w:hAnsi="Calibri" w:eastAsia="Microsoft YaHei"/>
                <w:color w:val="202D3C"/>
              </w:rPr>
              <w:t>用于比较该发展曲线是否值得投入 3-6 个月验证，而不是直接决定最终职业目标。</w:t>
            </w:r>
          </w:p>
        </w:tc>
      </w:tr>
      <w:tr>
        <w:tc>
          <w:tcPr>
            <w:tcW w:type="dxa" w:w="2700"/>
            <w:shd w:fill="E8EEF5"/>
          </w:tcPr>
          <w:p>
            <w:r>
              <w:rPr>
                <w:rFonts w:ascii="Calibri" w:hAnsi="Calibri" w:eastAsia="Microsoft YaHei"/>
                <w:b/>
                <w:color w:val="202D3C"/>
              </w:rPr>
              <w:t>个人基准</w:t>
            </w:r>
          </w:p>
        </w:tc>
        <w:tc>
          <w:tcPr>
            <w:tcW w:type="dxa" w:w="6660"/>
          </w:tcPr>
          <w:p>
            <w:r>
              <w:rPr>
                <w:rFonts w:ascii="Calibri" w:hAnsi="Calibri" w:eastAsia="Microsoft YaHei"/>
                <w:color w:val="202D3C"/>
              </w:rPr>
              <w:t>成都技术岗 20k RMB/月为满意线；公务员/事业编约 10k RMB/月可接受。</w:t>
            </w:r>
          </w:p>
        </w:tc>
      </w:tr>
      <w:tr>
        <w:tc>
          <w:tcPr>
            <w:tcW w:type="dxa" w:w="2700"/>
            <w:shd w:fill="E8EEF5"/>
          </w:tcPr>
          <w:p>
            <w:r>
              <w:rPr>
                <w:rFonts w:ascii="Calibri" w:hAnsi="Calibri" w:eastAsia="Microsoft YaHei"/>
                <w:b/>
                <w:color w:val="202D3C"/>
              </w:rPr>
              <w:t>精力假设</w:t>
            </w:r>
          </w:p>
        </w:tc>
        <w:tc>
          <w:tcPr>
            <w:tcW w:type="dxa" w:w="6660"/>
          </w:tcPr>
          <w:p>
            <w:r>
              <w:rPr>
                <w:rFonts w:ascii="Calibri" w:hAnsi="Calibri" w:eastAsia="Microsoft YaHei"/>
                <w:color w:val="202D3C"/>
              </w:rPr>
              <w:t>工作日每天约 2 小时，周末每天约 6 小时，每周约 22 小时可用于学习和项目。</w:t>
            </w:r>
          </w:p>
        </w:tc>
      </w:tr>
      <w:tr>
        <w:tc>
          <w:tcPr>
            <w:tcW w:type="dxa" w:w="2700"/>
            <w:shd w:fill="E8EEF5"/>
          </w:tcPr>
          <w:p>
            <w:r>
              <w:rPr>
                <w:rFonts w:ascii="Calibri" w:hAnsi="Calibri" w:eastAsia="Microsoft YaHei"/>
                <w:b/>
                <w:color w:val="202D3C"/>
              </w:rPr>
              <w:t>偏好约束</w:t>
            </w:r>
          </w:p>
        </w:tc>
        <w:tc>
          <w:tcPr>
            <w:tcW w:type="dxa" w:w="6660"/>
          </w:tcPr>
          <w:p>
            <w:r>
              <w:rPr>
                <w:rFonts w:ascii="Calibri" w:hAnsi="Calibri" w:eastAsia="Microsoft YaHei"/>
                <w:color w:val="202D3C"/>
              </w:rPr>
              <w:t>偏好机器人、三维、AI 等未来方向；不喜欢强销售；不接受长期结构性加班。</w:t>
            </w:r>
          </w:p>
        </w:tc>
      </w:tr>
      <w:tr>
        <w:tc>
          <w:tcPr>
            <w:tcW w:type="dxa" w:w="2700"/>
            <w:shd w:fill="E8EEF5"/>
          </w:tcPr>
          <w:p>
            <w:r>
              <w:rPr>
                <w:rFonts w:ascii="Calibri" w:hAnsi="Calibri" w:eastAsia="Microsoft YaHei"/>
                <w:b/>
                <w:color w:val="202D3C"/>
              </w:rPr>
              <w:t>日期</w:t>
            </w:r>
          </w:p>
        </w:tc>
        <w:tc>
          <w:tcPr>
            <w:tcW w:type="dxa" w:w="6660"/>
          </w:tcPr>
          <w:p>
            <w:r>
              <w:rPr>
                <w:rFonts w:ascii="Calibri" w:hAnsi="Calibri" w:eastAsia="Microsoft YaHei"/>
                <w:color w:val="202D3C"/>
              </w:rPr>
              <w:t>2026-05-22</w:t>
            </w:r>
          </w:p>
        </w:tc>
      </w:tr>
    </w:tbl>
    <w:p/>
    <w:tbl>
      <w:tblPr>
        <w:tblStyle w:val="TableGrid"/>
        <w:tblW w:type="dxa" w:w="9360"/>
        <w:jc w:val="center"/>
        <w:tblLook w:firstColumn="1" w:firstRow="1" w:lastColumn="0" w:lastRow="0" w:noHBand="0" w:noVBand="1" w:val="04A0"/>
        <w:tblInd w:w="120" w:type="dxa"/>
      </w:tblPr>
      <w:tblGrid>
        <w:gridCol w:w="9360"/>
      </w:tblGrid>
      <w:tr>
        <w:tc>
          <w:tcPr>
            <w:tcW w:type="dxa" w:w="9360"/>
            <w:vAlign w:val="center"/>
            <w:shd w:fill="F4F6F9"/>
          </w:tcPr>
          <w:p>
            <w:pPr>
              <w:spacing w:after="80"/>
            </w:pPr>
            <w:r>
              <w:rPr>
                <w:rFonts w:ascii="Calibri" w:hAnsi="Calibri" w:eastAsia="Microsoft YaHei"/>
                <w:b/>
                <w:color w:val="1F4D78"/>
              </w:rPr>
              <w:t>一句话判断</w:t>
            </w:r>
            <w:r>
              <w:rPr>
                <w:rFonts w:ascii="Calibri" w:hAnsi="Calibri" w:eastAsia="Microsoft YaHei"/>
                <w:color w:val="202D3C"/>
              </w:rPr>
              <w:t>：可以作为严肃备选，但不建议盲目押注一年。你的行为模式显示：开始阶段会有强动机，但长期重复复习、背诵和高压考试会使动力衰减。因此这条路需要阶段性闸门，而不是简单说“我愿意准备一年”。</w:t>
            </w:r>
          </w:p>
        </w:tc>
      </w:tr>
    </w:tbl>
    <w:p/>
    <w:p>
      <w:pPr>
        <w:pStyle w:val="Heading1"/>
        <w:keepNext/>
        <w:spacing w:before="320" w:after="160"/>
      </w:pPr>
      <w:r>
        <w:rPr>
          <w:rFonts w:ascii="Calibri" w:hAnsi="Calibri" w:eastAsia="Microsoft YaHei"/>
          <w:b/>
          <w:color w:val="2E74B5"/>
        </w:rPr>
        <w:t>1. 路线定义</w:t>
      </w:r>
    </w:p>
    <w:p>
      <w:pPr>
        <w:pStyle w:val="ListBullet"/>
        <w:spacing w:after="100" w:line="280" w:lineRule="auto"/>
        <w:ind w:left="720" w:hanging="360"/>
      </w:pPr>
      <w:r>
        <w:rPr>
          <w:rFonts w:ascii="Calibri" w:hAnsi="Calibri" w:eastAsia="Microsoft YaHei"/>
          <w:b w:val="0"/>
        </w:rPr>
        <w:t>这条路包括四川/成都公务员、事业单位、国企数字化、智慧城市、信息中心、政务信息化、网络安全、数据治理、公共服务平台等稳定岗位。</w:t>
      </w:r>
    </w:p>
    <w:p>
      <w:pPr>
        <w:pStyle w:val="ListBullet"/>
        <w:spacing w:after="100" w:line="280" w:lineRule="auto"/>
        <w:ind w:left="720" w:hanging="360"/>
      </w:pPr>
      <w:r>
        <w:rPr>
          <w:rFonts w:ascii="Calibri" w:hAnsi="Calibri" w:eastAsia="Microsoft YaHei"/>
          <w:b w:val="0"/>
        </w:rPr>
        <w:t>它不等于完全躺平，也不等于放弃技术。更现实的版本是用非全硕士、计科背景和工作经验争取对口信息化岗位。</w:t>
      </w:r>
    </w:p>
    <w:p>
      <w:pPr>
        <w:pStyle w:val="ListBullet"/>
        <w:spacing w:after="100" w:line="280" w:lineRule="auto"/>
        <w:ind w:left="720" w:hanging="360"/>
      </w:pPr>
      <w:r>
        <w:rPr>
          <w:rFonts w:ascii="Calibri" w:hAnsi="Calibri" w:eastAsia="Microsoft YaHei"/>
          <w:b w:val="0"/>
        </w:rPr>
        <w:t>它也不应与技术路线完全二选一：可以先用 3-6 个月做岗位调研和考试适应性测试，再决定是否投入完整一年。</w:t>
      </w:r>
    </w:p>
    <w:p>
      <w:pPr>
        <w:pStyle w:val="Heading1"/>
        <w:keepNext/>
        <w:spacing w:before="320" w:after="160"/>
      </w:pPr>
      <w:r>
        <w:rPr>
          <w:rFonts w:ascii="Calibri" w:hAnsi="Calibri" w:eastAsia="Microsoft YaHei"/>
          <w:b/>
          <w:color w:val="2E74B5"/>
        </w:rPr>
        <w:t>2. 与你的适配度</w:t>
      </w:r>
    </w:p>
    <w:p>
      <w:pPr>
        <w:spacing w:after="120" w:line="264" w:lineRule="auto"/>
      </w:pPr>
      <w:r>
        <w:rPr>
          <w:rFonts w:ascii="Calibri" w:hAnsi="Calibri" w:eastAsia="Microsoft YaHei"/>
          <w:b w:val="0"/>
        </w:rPr>
        <w:t>你对稳定生活和成都有真实偏好，且能接受公务员约 1w 月薪，这说明体制路线不是纯逃避，而是有生活锚点。</w:t>
      </w:r>
    </w:p>
    <w:p>
      <w:pPr>
        <w:spacing w:after="120" w:line="264" w:lineRule="auto"/>
      </w:pPr>
      <w:r>
        <w:rPr>
          <w:rFonts w:ascii="Calibri" w:hAnsi="Calibri" w:eastAsia="Microsoft YaHei"/>
          <w:b w:val="0"/>
        </w:rPr>
        <w:t>但你的历史模式需要认真看：小升初、中考、高考、考研都不是优势项；考研初期热情高，后期在重复复习和背诵中动力下降。这意味着公务员/事业编备考存在较高行为风险。</w:t>
      </w:r>
    </w:p>
    <w:p>
      <w:pPr>
        <w:spacing w:after="120" w:line="264" w:lineRule="auto"/>
      </w:pPr>
      <w:r>
        <w:rPr>
          <w:rFonts w:ascii="Calibri" w:hAnsi="Calibri" w:eastAsia="Microsoft YaHei"/>
          <w:b w:val="0"/>
        </w:rPr>
        <w:t>如果准备方式仍是“每天刷题背资料，熬一年等考试”，成功概率不乐观；如果改成外部监督、月度模考、岗位筛选、阶段淘汰，成功率会提高。</w:t>
      </w:r>
    </w:p>
    <w:p>
      <w:pPr>
        <w:pStyle w:val="Heading1"/>
        <w:keepNext/>
        <w:spacing w:before="320" w:after="160"/>
      </w:pPr>
      <w:r>
        <w:rPr>
          <w:rFonts w:ascii="Calibri" w:hAnsi="Calibri" w:eastAsia="Microsoft YaHei"/>
          <w:b/>
          <w:color w:val="2E74B5"/>
        </w:rPr>
        <w:t>3. AI 时代价值</w:t>
      </w:r>
    </w:p>
    <w:p>
      <w:pPr>
        <w:spacing w:after="120" w:line="264" w:lineRule="auto"/>
      </w:pPr>
      <w:r>
        <w:rPr>
          <w:rFonts w:ascii="Calibri" w:hAnsi="Calibri" w:eastAsia="Microsoft YaHei"/>
          <w:b w:val="0"/>
        </w:rPr>
        <w:t>AI 对体制岗位的冲击相对慢，但数字政府、数据治理、智能办公、政务 AI 应用会增加对复合型信息化人才的需求。你的技术背景可能在信息中心、数据平台、网络安全、智慧城市等岗位更有用。</w:t>
      </w:r>
    </w:p>
    <w:p>
      <w:pPr>
        <w:pStyle w:val="Heading1"/>
        <w:keepNext/>
        <w:spacing w:before="320" w:after="160"/>
      </w:pPr>
      <w:r>
        <w:rPr>
          <w:rFonts w:ascii="Calibri" w:hAnsi="Calibri" w:eastAsia="Microsoft YaHei"/>
          <w:b/>
          <w:color w:val="2E74B5"/>
        </w:rPr>
        <w:t>4. 成都可行性与收入生活匹配</w:t>
      </w:r>
    </w:p>
    <w:p>
      <w:pPr>
        <w:spacing w:after="120" w:line="264" w:lineRule="auto"/>
      </w:pPr>
      <w:r>
        <w:rPr>
          <w:rFonts w:ascii="Calibri" w:hAnsi="Calibri" w:eastAsia="Microsoft YaHei"/>
          <w:b w:val="0"/>
        </w:rPr>
        <w:t>这是成都落地性最强的路线之一。非全硕士在教育部文件中具有同等法律地位和相同效力，公务员、事业单位、国企公开招聘原则上应提供平等机会；但具体岗位仍要看公告是否要求学历、学位、专业、基层经历、应届身份或其他条件。</w:t>
      </w:r>
    </w:p>
    <w:p>
      <w:pPr>
        <w:spacing w:after="120" w:line="264" w:lineRule="auto"/>
      </w:pPr>
      <w:r>
        <w:rPr>
          <w:rFonts w:ascii="Calibri" w:hAnsi="Calibri" w:eastAsia="Microsoft YaHei"/>
          <w:b w:val="0"/>
        </w:rPr>
        <w:t>公务员或事业编约 1w 月薪你可以接受，但要综合公积金、福利、稳定性、晋升速度、隐性压力和工作内容。国企信息化或平台公司可能比编制收入高，但稳定性和加班情况差异较大。</w:t>
      </w:r>
    </w:p>
    <w:p>
      <w:pPr>
        <w:pStyle w:val="Heading1"/>
        <w:keepNext/>
        <w:spacing w:before="320" w:after="160"/>
      </w:pPr>
      <w:r>
        <w:rPr>
          <w:rFonts w:ascii="Calibri" w:hAnsi="Calibri" w:eastAsia="Microsoft YaHei"/>
          <w:b/>
          <w:color w:val="2E74B5"/>
        </w:rPr>
        <w:t>5. 学习成本与可执行性</w:t>
      </w:r>
    </w:p>
    <w:p>
      <w:pPr>
        <w:spacing w:after="120" w:line="264" w:lineRule="auto"/>
      </w:pPr>
      <w:r>
        <w:rPr>
          <w:rFonts w:ascii="Calibri" w:hAnsi="Calibri" w:eastAsia="Microsoft YaHei"/>
          <w:b w:val="0"/>
        </w:rPr>
        <w:t>你的每周 22 小时足以备考，但关键不是时间，而是重复性承受能力。建议把一年拆成 3 个闸门：第 1 个月看是否能稳定刷题，第 3 个月看模考排名，第 6 个月决定是否全力押注。</w:t>
      </w:r>
    </w:p>
    <w:p>
      <w:pPr>
        <w:pStyle w:val="Heading1"/>
        <w:keepNext/>
        <w:spacing w:before="320" w:after="160"/>
      </w:pPr>
      <w:r>
        <w:rPr>
          <w:rFonts w:ascii="Calibri" w:hAnsi="Calibri" w:eastAsia="Microsoft YaHei"/>
          <w:b/>
          <w:color w:val="2E74B5"/>
        </w:rPr>
        <w:t>6. 评分矩阵</w:t>
      </w:r>
    </w:p>
    <w:p>
      <w:pPr>
        <w:spacing w:after="120" w:line="264" w:lineRule="auto"/>
      </w:pPr>
      <w:r>
        <w:rPr>
          <w:rFonts w:ascii="Calibri" w:hAnsi="Calibri" w:eastAsia="Microsoft YaHei"/>
          <w:b w:val="0"/>
        </w:rPr>
        <w:t>评分为 1-5 分。高分不代表一定选择，低分也不代表彻底排除；它用于暴露这条路的真实代价。</w:t>
      </w:r>
    </w:p>
    <w:tbl>
      <w:tblPr>
        <w:tblStyle w:val="TableGrid"/>
        <w:tblW w:type="dxa" w:w="9360"/>
        <w:jc w:val="center"/>
        <w:tblLook w:firstColumn="1" w:firstRow="1" w:lastColumn="0" w:lastRow="0" w:noHBand="0" w:noVBand="1" w:val="04A0"/>
        <w:tblInd w:w="120" w:type="dxa"/>
      </w:tblPr>
      <w:tblGrid>
        <w:gridCol w:w="2100"/>
        <w:gridCol w:w="1500"/>
        <w:gridCol w:w="5760"/>
      </w:tblGrid>
      <w:tr>
        <w:tc>
          <w:tcPr>
            <w:tcW w:type="dxa" w:w="2100"/>
            <w:vAlign w:val="center"/>
            <w:shd w:fill="F2F4F7"/>
          </w:tcPr>
          <w:p>
            <w:r>
              <w:rPr>
                <w:rFonts w:ascii="Calibri" w:hAnsi="Calibri" w:eastAsia="Microsoft YaHei"/>
                <w:b/>
                <w:color w:val="202D3C"/>
              </w:rPr>
              <w:t>维度</w:t>
            </w:r>
          </w:p>
        </w:tc>
        <w:tc>
          <w:tcPr>
            <w:tcW w:type="dxa" w:w="1500"/>
            <w:vAlign w:val="center"/>
            <w:shd w:fill="F2F4F7"/>
          </w:tcPr>
          <w:p>
            <w:r>
              <w:rPr>
                <w:rFonts w:ascii="Calibri" w:hAnsi="Calibri" w:eastAsia="Microsoft YaHei"/>
                <w:b/>
                <w:color w:val="202D3C"/>
              </w:rPr>
              <w:t>评分</w:t>
            </w:r>
          </w:p>
        </w:tc>
        <w:tc>
          <w:tcPr>
            <w:tcW w:type="dxa" w:w="5760"/>
            <w:vAlign w:val="center"/>
            <w:shd w:fill="F2F4F7"/>
          </w:tcPr>
          <w:p>
            <w:r>
              <w:rPr>
                <w:rFonts w:ascii="Calibri" w:hAnsi="Calibri" w:eastAsia="Microsoft YaHei"/>
                <w:b/>
                <w:color w:val="202D3C"/>
              </w:rPr>
              <w:t>解释</w:t>
            </w:r>
          </w:p>
        </w:tc>
      </w:tr>
      <w:tr>
        <w:tc>
          <w:tcPr>
            <w:tcW w:type="dxa" w:w="2100"/>
          </w:tcPr>
          <w:p>
            <w:r>
              <w:rPr>
                <w:rFonts w:ascii="Calibri" w:hAnsi="Calibri" w:eastAsia="Microsoft YaHei"/>
                <w:b/>
                <w:color w:val="202D3C"/>
              </w:rPr>
              <w:t>兴趣匹配</w:t>
            </w:r>
          </w:p>
        </w:tc>
        <w:tc>
          <w:tcPr>
            <w:tcW w:type="dxa" w:w="1500"/>
          </w:tcPr>
          <w:p>
            <w:pPr>
              <w:jc w:val="center"/>
            </w:pPr>
            <w:r>
              <w:rPr>
                <w:rFonts w:ascii="Calibri" w:hAnsi="Calibri" w:eastAsia="Microsoft YaHei"/>
                <w:b w:val="0"/>
                <w:color w:val="202D3C"/>
              </w:rPr>
              <w:t>2/5</w:t>
            </w:r>
          </w:p>
        </w:tc>
        <w:tc>
          <w:tcPr>
            <w:tcW w:type="dxa" w:w="5760"/>
          </w:tcPr>
          <w:p>
            <w:r>
              <w:rPr>
                <w:rFonts w:ascii="Calibri" w:hAnsi="Calibri" w:eastAsia="Microsoft YaHei"/>
                <w:b w:val="0"/>
                <w:color w:val="202D3C"/>
              </w:rPr>
              <w:t>生活匹配高，但工作内容未必激发兴趣。</w:t>
            </w:r>
          </w:p>
        </w:tc>
      </w:tr>
      <w:tr>
        <w:tc>
          <w:tcPr>
            <w:tcW w:type="dxa" w:w="2100"/>
          </w:tcPr>
          <w:p>
            <w:r>
              <w:rPr>
                <w:rFonts w:ascii="Calibri" w:hAnsi="Calibri" w:eastAsia="Microsoft YaHei"/>
                <w:b/>
                <w:color w:val="202D3C"/>
              </w:rPr>
              <w:t>学习成本</w:t>
            </w:r>
          </w:p>
        </w:tc>
        <w:tc>
          <w:tcPr>
            <w:tcW w:type="dxa" w:w="1500"/>
          </w:tcPr>
          <w:p>
            <w:pPr>
              <w:jc w:val="center"/>
            </w:pPr>
            <w:r>
              <w:rPr>
                <w:rFonts w:ascii="Calibri" w:hAnsi="Calibri" w:eastAsia="Microsoft YaHei"/>
                <w:b w:val="0"/>
                <w:color w:val="202D3C"/>
              </w:rPr>
              <w:t>2/5</w:t>
            </w:r>
          </w:p>
        </w:tc>
        <w:tc>
          <w:tcPr>
            <w:tcW w:type="dxa" w:w="5760"/>
          </w:tcPr>
          <w:p>
            <w:r>
              <w:rPr>
                <w:rFonts w:ascii="Calibri" w:hAnsi="Calibri" w:eastAsia="Microsoft YaHei"/>
                <w:b w:val="0"/>
                <w:color w:val="202D3C"/>
              </w:rPr>
              <w:t>备考内容重复、背诵和应试强，踩中你的弱点。</w:t>
            </w:r>
          </w:p>
        </w:tc>
      </w:tr>
      <w:tr>
        <w:tc>
          <w:tcPr>
            <w:tcW w:type="dxa" w:w="2100"/>
          </w:tcPr>
          <w:p>
            <w:r>
              <w:rPr>
                <w:rFonts w:ascii="Calibri" w:hAnsi="Calibri" w:eastAsia="Microsoft YaHei"/>
                <w:b/>
                <w:color w:val="202D3C"/>
              </w:rPr>
              <w:t>成都可行性</w:t>
            </w:r>
          </w:p>
        </w:tc>
        <w:tc>
          <w:tcPr>
            <w:tcW w:type="dxa" w:w="1500"/>
          </w:tcPr>
          <w:p>
            <w:pPr>
              <w:jc w:val="center"/>
            </w:pPr>
            <w:r>
              <w:rPr>
                <w:rFonts w:ascii="Calibri" w:hAnsi="Calibri" w:eastAsia="Microsoft YaHei"/>
                <w:b w:val="0"/>
                <w:color w:val="202D3C"/>
              </w:rPr>
              <w:t>5/5</w:t>
            </w:r>
          </w:p>
        </w:tc>
        <w:tc>
          <w:tcPr>
            <w:tcW w:type="dxa" w:w="5760"/>
          </w:tcPr>
          <w:p>
            <w:r>
              <w:rPr>
                <w:rFonts w:ascii="Calibri" w:hAnsi="Calibri" w:eastAsia="Microsoft YaHei"/>
                <w:b w:val="0"/>
                <w:color w:val="202D3C"/>
              </w:rPr>
              <w:t>成都定居和稳定性匹配度最高。</w:t>
            </w:r>
          </w:p>
        </w:tc>
      </w:tr>
      <w:tr>
        <w:tc>
          <w:tcPr>
            <w:tcW w:type="dxa" w:w="2100"/>
          </w:tcPr>
          <w:p>
            <w:r>
              <w:rPr>
                <w:rFonts w:ascii="Calibri" w:hAnsi="Calibri" w:eastAsia="Microsoft YaHei"/>
                <w:b/>
                <w:color w:val="202D3C"/>
              </w:rPr>
              <w:t>薪资上限</w:t>
            </w:r>
          </w:p>
        </w:tc>
        <w:tc>
          <w:tcPr>
            <w:tcW w:type="dxa" w:w="1500"/>
          </w:tcPr>
          <w:p>
            <w:pPr>
              <w:jc w:val="center"/>
            </w:pPr>
            <w:r>
              <w:rPr>
                <w:rFonts w:ascii="Calibri" w:hAnsi="Calibri" w:eastAsia="Microsoft YaHei"/>
                <w:b w:val="0"/>
                <w:color w:val="202D3C"/>
              </w:rPr>
              <w:t>2/5</w:t>
            </w:r>
          </w:p>
        </w:tc>
        <w:tc>
          <w:tcPr>
            <w:tcW w:type="dxa" w:w="5760"/>
          </w:tcPr>
          <w:p>
            <w:r>
              <w:rPr>
                <w:rFonts w:ascii="Calibri" w:hAnsi="Calibri" w:eastAsia="Microsoft YaHei"/>
                <w:b w:val="0"/>
                <w:color w:val="202D3C"/>
              </w:rPr>
              <w:t>编制收入上限有限，但生活确定性强。</w:t>
            </w:r>
          </w:p>
        </w:tc>
      </w:tr>
      <w:tr>
        <w:tc>
          <w:tcPr>
            <w:tcW w:type="dxa" w:w="2100"/>
          </w:tcPr>
          <w:p>
            <w:r>
              <w:rPr>
                <w:rFonts w:ascii="Calibri" w:hAnsi="Calibri" w:eastAsia="Microsoft YaHei"/>
                <w:b/>
                <w:color w:val="202D3C"/>
              </w:rPr>
              <w:t>稳定性</w:t>
            </w:r>
          </w:p>
        </w:tc>
        <w:tc>
          <w:tcPr>
            <w:tcW w:type="dxa" w:w="1500"/>
          </w:tcPr>
          <w:p>
            <w:pPr>
              <w:jc w:val="center"/>
            </w:pPr>
            <w:r>
              <w:rPr>
                <w:rFonts w:ascii="Calibri" w:hAnsi="Calibri" w:eastAsia="Microsoft YaHei"/>
                <w:b w:val="0"/>
                <w:color w:val="202D3C"/>
              </w:rPr>
              <w:t>5/5</w:t>
            </w:r>
          </w:p>
        </w:tc>
        <w:tc>
          <w:tcPr>
            <w:tcW w:type="dxa" w:w="5760"/>
          </w:tcPr>
          <w:p>
            <w:r>
              <w:rPr>
                <w:rFonts w:ascii="Calibri" w:hAnsi="Calibri" w:eastAsia="Microsoft YaHei"/>
                <w:b w:val="0"/>
                <w:color w:val="202D3C"/>
              </w:rPr>
              <w:t>稳定性是核心优势。</w:t>
            </w:r>
          </w:p>
        </w:tc>
      </w:tr>
      <w:tr>
        <w:tc>
          <w:tcPr>
            <w:tcW w:type="dxa" w:w="2100"/>
          </w:tcPr>
          <w:p>
            <w:r>
              <w:rPr>
                <w:rFonts w:ascii="Calibri" w:hAnsi="Calibri" w:eastAsia="Microsoft YaHei"/>
                <w:b/>
                <w:color w:val="202D3C"/>
              </w:rPr>
              <w:t>AI 抗冲击</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短中期抗冲击强，信息化岗位仍有需求。</w:t>
            </w:r>
          </w:p>
        </w:tc>
      </w:tr>
      <w:tr>
        <w:tc>
          <w:tcPr>
            <w:tcW w:type="dxa" w:w="2100"/>
          </w:tcPr>
          <w:p>
            <w:r>
              <w:rPr>
                <w:rFonts w:ascii="Calibri" w:hAnsi="Calibri" w:eastAsia="Microsoft YaHei"/>
                <w:b/>
                <w:color w:val="202D3C"/>
              </w:rPr>
              <w:t>转型风险</w:t>
            </w:r>
          </w:p>
        </w:tc>
        <w:tc>
          <w:tcPr>
            <w:tcW w:type="dxa" w:w="1500"/>
          </w:tcPr>
          <w:p>
            <w:pPr>
              <w:jc w:val="center"/>
            </w:pPr>
            <w:r>
              <w:rPr>
                <w:rFonts w:ascii="Calibri" w:hAnsi="Calibri" w:eastAsia="Microsoft YaHei"/>
                <w:b w:val="0"/>
                <w:color w:val="202D3C"/>
              </w:rPr>
              <w:t>3/5</w:t>
            </w:r>
          </w:p>
        </w:tc>
        <w:tc>
          <w:tcPr>
            <w:tcW w:type="dxa" w:w="5760"/>
          </w:tcPr>
          <w:p>
            <w:r>
              <w:rPr>
                <w:rFonts w:ascii="Calibri" w:hAnsi="Calibri" w:eastAsia="Microsoft YaHei"/>
                <w:b w:val="0"/>
                <w:color w:val="202D3C"/>
              </w:rPr>
              <w:t>一旦上岸稳定，但备考失败会消耗一年机会成本。</w:t>
            </w:r>
          </w:p>
        </w:tc>
      </w:tr>
      <w:tr>
        <w:tc>
          <w:tcPr>
            <w:tcW w:type="dxa" w:w="2100"/>
          </w:tcPr>
          <w:p>
            <w:r>
              <w:rPr>
                <w:rFonts w:ascii="Calibri" w:hAnsi="Calibri" w:eastAsia="Microsoft YaHei"/>
                <w:b/>
                <w:color w:val="202D3C"/>
              </w:rPr>
              <w:t>个人精力匹配</w:t>
            </w:r>
          </w:p>
        </w:tc>
        <w:tc>
          <w:tcPr>
            <w:tcW w:type="dxa" w:w="1500"/>
          </w:tcPr>
          <w:p>
            <w:pPr>
              <w:jc w:val="center"/>
            </w:pPr>
            <w:r>
              <w:rPr>
                <w:rFonts w:ascii="Calibri" w:hAnsi="Calibri" w:eastAsia="Microsoft YaHei"/>
                <w:b w:val="0"/>
                <w:color w:val="202D3C"/>
              </w:rPr>
              <w:t>2/5</w:t>
            </w:r>
          </w:p>
        </w:tc>
        <w:tc>
          <w:tcPr>
            <w:tcW w:type="dxa" w:w="5760"/>
          </w:tcPr>
          <w:p>
            <w:r>
              <w:rPr>
                <w:rFonts w:ascii="Calibri" w:hAnsi="Calibri" w:eastAsia="Microsoft YaHei"/>
                <w:b w:val="0"/>
                <w:color w:val="202D3C"/>
              </w:rPr>
              <w:t>长期重复复习与你行为模式冲突。</w:t>
            </w:r>
          </w:p>
        </w:tc>
      </w:tr>
    </w:tbl>
    <w:p/>
    <w:p>
      <w:pPr>
        <w:pStyle w:val="Heading1"/>
        <w:keepNext/>
        <w:spacing w:before="320" w:after="160"/>
      </w:pPr>
      <w:r>
        <w:rPr>
          <w:rFonts w:ascii="Calibri" w:hAnsi="Calibri" w:eastAsia="Microsoft YaHei"/>
          <w:b/>
          <w:color w:val="2E74B5"/>
        </w:rPr>
        <w:t>7. 1 年 / 3 年 / 5 年发展曲线</w:t>
      </w:r>
    </w:p>
    <w:tbl>
      <w:tblPr>
        <w:tblStyle w:val="TableGrid"/>
        <w:tblW w:type="dxa" w:w="9360"/>
        <w:jc w:val="center"/>
        <w:tblLook w:firstColumn="1" w:firstRow="1" w:lastColumn="0" w:lastRow="0" w:noHBand="0" w:noVBand="1" w:val="04A0"/>
        <w:tblInd w:w="120" w:type="dxa"/>
      </w:tblPr>
      <w:tblGrid>
        <w:gridCol w:w="1600"/>
        <w:gridCol w:w="3940"/>
        <w:gridCol w:w="3820"/>
      </w:tblGrid>
      <w:tr>
        <w:tc>
          <w:tcPr>
            <w:tcW w:type="dxa" w:w="1600"/>
            <w:vAlign w:val="center"/>
            <w:shd w:fill="F2F4F7"/>
          </w:tcPr>
          <w:p>
            <w:r>
              <w:rPr>
                <w:rFonts w:ascii="Calibri" w:hAnsi="Calibri" w:eastAsia="Microsoft YaHei"/>
                <w:b/>
                <w:color w:val="202D3C"/>
              </w:rPr>
              <w:t>时间</w:t>
            </w:r>
          </w:p>
        </w:tc>
        <w:tc>
          <w:tcPr>
            <w:tcW w:type="dxa" w:w="3940"/>
            <w:vAlign w:val="center"/>
            <w:shd w:fill="F2F4F7"/>
          </w:tcPr>
          <w:p>
            <w:r>
              <w:rPr>
                <w:rFonts w:ascii="Calibri" w:hAnsi="Calibri" w:eastAsia="Microsoft YaHei"/>
                <w:b/>
                <w:color w:val="202D3C"/>
              </w:rPr>
              <w:t>合理目标</w:t>
            </w:r>
          </w:p>
        </w:tc>
        <w:tc>
          <w:tcPr>
            <w:tcW w:type="dxa" w:w="3820"/>
            <w:vAlign w:val="center"/>
            <w:shd w:fill="F2F4F7"/>
          </w:tcPr>
          <w:p>
            <w:r>
              <w:rPr>
                <w:rFonts w:ascii="Calibri" w:hAnsi="Calibri" w:eastAsia="Microsoft YaHei"/>
                <w:b/>
                <w:color w:val="202D3C"/>
              </w:rPr>
              <w:t>判断重点</w:t>
            </w:r>
          </w:p>
        </w:tc>
      </w:tr>
      <w:tr>
        <w:tc>
          <w:tcPr>
            <w:tcW w:type="dxa" w:w="1600"/>
          </w:tcPr>
          <w:p>
            <w:r>
              <w:rPr>
                <w:rFonts w:ascii="Calibri" w:hAnsi="Calibri" w:eastAsia="Microsoft YaHei"/>
                <w:b/>
                <w:color w:val="202D3C"/>
              </w:rPr>
              <w:t>1 年</w:t>
            </w:r>
          </w:p>
        </w:tc>
        <w:tc>
          <w:tcPr>
            <w:tcW w:type="dxa" w:w="3940"/>
          </w:tcPr>
          <w:p>
            <w:r>
              <w:rPr>
                <w:rFonts w:ascii="Calibri" w:hAnsi="Calibri" w:eastAsia="Microsoft YaHei"/>
                <w:b w:val="0"/>
                <w:color w:val="202D3C"/>
              </w:rPr>
              <w:t>完成岗位筛选、备考、模考和考试；同时保留技术作品最低更新频率。</w:t>
            </w:r>
          </w:p>
        </w:tc>
        <w:tc>
          <w:tcPr>
            <w:tcW w:type="dxa" w:w="3820"/>
          </w:tcPr>
          <w:p>
            <w:r>
              <w:rPr>
                <w:rFonts w:ascii="Calibri" w:hAnsi="Calibri" w:eastAsia="Microsoft YaHei"/>
                <w:b w:val="0"/>
                <w:color w:val="202D3C"/>
              </w:rPr>
              <w:t>能否坚持重复训练且模考进入可竞争区间。</w:t>
            </w:r>
          </w:p>
        </w:tc>
      </w:tr>
      <w:tr>
        <w:tc>
          <w:tcPr>
            <w:tcW w:type="dxa" w:w="1600"/>
          </w:tcPr>
          <w:p>
            <w:r>
              <w:rPr>
                <w:rFonts w:ascii="Calibri" w:hAnsi="Calibri" w:eastAsia="Microsoft YaHei"/>
                <w:b/>
                <w:color w:val="202D3C"/>
              </w:rPr>
              <w:t>3 年</w:t>
            </w:r>
          </w:p>
        </w:tc>
        <w:tc>
          <w:tcPr>
            <w:tcW w:type="dxa" w:w="3940"/>
          </w:tcPr>
          <w:p>
            <w:r>
              <w:rPr>
                <w:rFonts w:ascii="Calibri" w:hAnsi="Calibri" w:eastAsia="Microsoft YaHei"/>
                <w:b w:val="0"/>
                <w:color w:val="202D3C"/>
              </w:rPr>
              <w:t>若上岸，适应体制规则并争取信息化/数据/项目管理相关职责。若未上岸，回到技术或产品路线。</w:t>
            </w:r>
          </w:p>
        </w:tc>
        <w:tc>
          <w:tcPr>
            <w:tcW w:type="dxa" w:w="3820"/>
          </w:tcPr>
          <w:p>
            <w:r>
              <w:rPr>
                <w:rFonts w:ascii="Calibri" w:hAnsi="Calibri" w:eastAsia="Microsoft YaHei"/>
                <w:b w:val="0"/>
                <w:color w:val="202D3C"/>
              </w:rPr>
              <w:t>是否获得稳定生活而不是长期压抑。</w:t>
            </w:r>
          </w:p>
        </w:tc>
      </w:tr>
      <w:tr>
        <w:tc>
          <w:tcPr>
            <w:tcW w:type="dxa" w:w="1600"/>
          </w:tcPr>
          <w:p>
            <w:r>
              <w:rPr>
                <w:rFonts w:ascii="Calibri" w:hAnsi="Calibri" w:eastAsia="Microsoft YaHei"/>
                <w:b/>
                <w:color w:val="202D3C"/>
              </w:rPr>
              <w:t>5 年</w:t>
            </w:r>
          </w:p>
        </w:tc>
        <w:tc>
          <w:tcPr>
            <w:tcW w:type="dxa" w:w="3940"/>
          </w:tcPr>
          <w:p>
            <w:r>
              <w:rPr>
                <w:rFonts w:ascii="Calibri" w:hAnsi="Calibri" w:eastAsia="Microsoft YaHei"/>
                <w:b w:val="0"/>
                <w:color w:val="202D3C"/>
              </w:rPr>
              <w:t>在成都形成稳定生活，向信息化骨干、项目负责人或数字政府相关岗位积累。</w:t>
            </w:r>
          </w:p>
        </w:tc>
        <w:tc>
          <w:tcPr>
            <w:tcW w:type="dxa" w:w="3820"/>
          </w:tcPr>
          <w:p>
            <w:r>
              <w:rPr>
                <w:rFonts w:ascii="Calibri" w:hAnsi="Calibri" w:eastAsia="Microsoft YaHei"/>
                <w:b w:val="0"/>
                <w:color w:val="202D3C"/>
              </w:rPr>
              <w:t>是否接受收入天花板和组织规则。</w:t>
            </w:r>
          </w:p>
        </w:tc>
      </w:tr>
    </w:tbl>
    <w:p/>
    <w:p>
      <w:pPr>
        <w:pStyle w:val="Heading1"/>
        <w:keepNext/>
        <w:spacing w:before="320" w:after="160"/>
      </w:pPr>
      <w:r>
        <w:rPr>
          <w:rFonts w:ascii="Calibri" w:hAnsi="Calibri" w:eastAsia="Microsoft YaHei"/>
          <w:b/>
          <w:color w:val="2E74B5"/>
        </w:rPr>
        <w:t>8. 风险和陷阱</w:t>
      </w:r>
    </w:p>
    <w:p>
      <w:pPr>
        <w:pStyle w:val="ListBullet"/>
        <w:spacing w:after="100" w:line="280" w:lineRule="auto"/>
        <w:ind w:left="720" w:hanging="360"/>
      </w:pPr>
      <w:r>
        <w:rPr>
          <w:rFonts w:ascii="Calibri" w:hAnsi="Calibri" w:eastAsia="Microsoft YaHei"/>
          <w:b w:val="0"/>
        </w:rPr>
        <w:t>一年备考可能重复考研失败模式：初期热情高，后期厌倦。</w:t>
      </w:r>
    </w:p>
    <w:p>
      <w:pPr>
        <w:pStyle w:val="ListBullet"/>
        <w:spacing w:after="100" w:line="280" w:lineRule="auto"/>
        <w:ind w:left="720" w:hanging="360"/>
      </w:pPr>
      <w:r>
        <w:rPr>
          <w:rFonts w:ascii="Calibri" w:hAnsi="Calibri" w:eastAsia="Microsoft YaHei"/>
          <w:b w:val="0"/>
        </w:rPr>
        <w:t>岗位公告可能限制专业、学历形式、应届身份或基层经验，不能只看政策原则。</w:t>
      </w:r>
    </w:p>
    <w:p>
      <w:pPr>
        <w:pStyle w:val="ListBullet"/>
        <w:spacing w:after="100" w:line="280" w:lineRule="auto"/>
        <w:ind w:left="720" w:hanging="360"/>
      </w:pPr>
      <w:r>
        <w:rPr>
          <w:rFonts w:ascii="Calibri" w:hAnsi="Calibri" w:eastAsia="Microsoft YaHei"/>
          <w:b w:val="0"/>
        </w:rPr>
        <w:t>上岸后工作可能并不轻松，也可能有材料、会议、协调和隐性加班。</w:t>
      </w:r>
    </w:p>
    <w:p>
      <w:pPr>
        <w:pStyle w:val="ListBullet"/>
        <w:spacing w:after="100" w:line="280" w:lineRule="auto"/>
        <w:ind w:left="720" w:hanging="360"/>
      </w:pPr>
      <w:r>
        <w:rPr>
          <w:rFonts w:ascii="Calibri" w:hAnsi="Calibri" w:eastAsia="Microsoft YaHei"/>
          <w:b w:val="0"/>
        </w:rPr>
        <w:t>如果完全停止技术积累，未上岸后的回撤成本会很高。</w:t>
      </w:r>
    </w:p>
    <w:p>
      <w:pPr>
        <w:pStyle w:val="Heading1"/>
        <w:keepNext/>
        <w:spacing w:before="320" w:after="160"/>
      </w:pPr>
      <w:r>
        <w:rPr>
          <w:rFonts w:ascii="Calibri" w:hAnsi="Calibri" w:eastAsia="Microsoft YaHei"/>
          <w:b/>
          <w:color w:val="2E74B5"/>
        </w:rPr>
        <w:t>9. 30 / 90 / 180 天验证计划</w:t>
      </w:r>
    </w:p>
    <w:tbl>
      <w:tblPr>
        <w:tblStyle w:val="TableGrid"/>
        <w:tblW w:type="dxa" w:w="9360"/>
        <w:jc w:val="center"/>
        <w:tblLook w:firstColumn="1" w:firstRow="1" w:lastColumn="0" w:lastRow="0" w:noHBand="0" w:noVBand="1" w:val="04A0"/>
        <w:tblInd w:w="120" w:type="dxa"/>
      </w:tblPr>
      <w:tblGrid>
        <w:gridCol w:w="1600"/>
        <w:gridCol w:w="3920"/>
        <w:gridCol w:w="3840"/>
      </w:tblGrid>
      <w:tr>
        <w:tc>
          <w:tcPr>
            <w:tcW w:type="dxa" w:w="1600"/>
            <w:vAlign w:val="center"/>
            <w:shd w:fill="F2F4F7"/>
          </w:tcPr>
          <w:p>
            <w:r>
              <w:rPr>
                <w:rFonts w:ascii="Calibri" w:hAnsi="Calibri" w:eastAsia="Microsoft YaHei"/>
                <w:b/>
                <w:color w:val="202D3C"/>
              </w:rPr>
              <w:t>阶段</w:t>
            </w:r>
          </w:p>
        </w:tc>
        <w:tc>
          <w:tcPr>
            <w:tcW w:type="dxa" w:w="3920"/>
            <w:vAlign w:val="center"/>
            <w:shd w:fill="F2F4F7"/>
          </w:tcPr>
          <w:p>
            <w:r>
              <w:rPr>
                <w:rFonts w:ascii="Calibri" w:hAnsi="Calibri" w:eastAsia="Microsoft YaHei"/>
                <w:b/>
                <w:color w:val="202D3C"/>
              </w:rPr>
              <w:t>验证动作</w:t>
            </w:r>
          </w:p>
        </w:tc>
        <w:tc>
          <w:tcPr>
            <w:tcW w:type="dxa" w:w="3840"/>
            <w:vAlign w:val="center"/>
            <w:shd w:fill="F2F4F7"/>
          </w:tcPr>
          <w:p>
            <w:r>
              <w:rPr>
                <w:rFonts w:ascii="Calibri" w:hAnsi="Calibri" w:eastAsia="Microsoft YaHei"/>
                <w:b/>
                <w:color w:val="202D3C"/>
              </w:rPr>
              <w:t>通过信号</w:t>
            </w:r>
          </w:p>
        </w:tc>
      </w:tr>
      <w:tr>
        <w:tc>
          <w:tcPr>
            <w:tcW w:type="dxa" w:w="1600"/>
          </w:tcPr>
          <w:p>
            <w:r>
              <w:rPr>
                <w:rFonts w:ascii="Calibri" w:hAnsi="Calibri" w:eastAsia="Microsoft YaHei"/>
                <w:b/>
                <w:color w:val="202D3C"/>
              </w:rPr>
              <w:t>30 天</w:t>
            </w:r>
          </w:p>
        </w:tc>
        <w:tc>
          <w:tcPr>
            <w:tcW w:type="dxa" w:w="3920"/>
          </w:tcPr>
          <w:p>
            <w:r>
              <w:rPr>
                <w:rFonts w:ascii="Calibri" w:hAnsi="Calibri" w:eastAsia="Microsoft YaHei"/>
                <w:b w:val="0"/>
                <w:color w:val="202D3C"/>
              </w:rPr>
              <w:t>收集近三年四川/成都公务员、事业单位、国企信息化岗位公告，筛出 20 个理论可报岗位。</w:t>
            </w:r>
          </w:p>
        </w:tc>
        <w:tc>
          <w:tcPr>
            <w:tcW w:type="dxa" w:w="3840"/>
          </w:tcPr>
          <w:p>
            <w:r>
              <w:rPr>
                <w:rFonts w:ascii="Calibri" w:hAnsi="Calibri" w:eastAsia="Microsoft YaHei"/>
                <w:b w:val="0"/>
                <w:color w:val="202D3C"/>
              </w:rPr>
              <w:t>岗位真实存在，非全硕士和专业条件不构成明显阻碍。</w:t>
            </w:r>
          </w:p>
        </w:tc>
      </w:tr>
      <w:tr>
        <w:tc>
          <w:tcPr>
            <w:tcW w:type="dxa" w:w="1600"/>
          </w:tcPr>
          <w:p>
            <w:r>
              <w:rPr>
                <w:rFonts w:ascii="Calibri" w:hAnsi="Calibri" w:eastAsia="Microsoft YaHei"/>
                <w:b/>
                <w:color w:val="202D3C"/>
              </w:rPr>
              <w:t>90 天</w:t>
            </w:r>
          </w:p>
        </w:tc>
        <w:tc>
          <w:tcPr>
            <w:tcW w:type="dxa" w:w="3920"/>
          </w:tcPr>
          <w:p>
            <w:r>
              <w:rPr>
                <w:rFonts w:ascii="Calibri" w:hAnsi="Calibri" w:eastAsia="Microsoft YaHei"/>
                <w:b w:val="0"/>
                <w:color w:val="202D3C"/>
              </w:rPr>
              <w:t>按公考节奏完成行测/申论基础轮和 3 次模拟考，记录分数曲线和厌倦程度。</w:t>
            </w:r>
          </w:p>
        </w:tc>
        <w:tc>
          <w:tcPr>
            <w:tcW w:type="dxa" w:w="3840"/>
          </w:tcPr>
          <w:p>
            <w:r>
              <w:rPr>
                <w:rFonts w:ascii="Calibri" w:hAnsi="Calibri" w:eastAsia="Microsoft YaHei"/>
                <w:b w:val="0"/>
                <w:color w:val="202D3C"/>
              </w:rPr>
              <w:t>分数上升且没有明显心理排斥。</w:t>
            </w:r>
          </w:p>
        </w:tc>
      </w:tr>
      <w:tr>
        <w:tc>
          <w:tcPr>
            <w:tcW w:type="dxa" w:w="1600"/>
          </w:tcPr>
          <w:p>
            <w:r>
              <w:rPr>
                <w:rFonts w:ascii="Calibri" w:hAnsi="Calibri" w:eastAsia="Microsoft YaHei"/>
                <w:b/>
                <w:color w:val="202D3C"/>
              </w:rPr>
              <w:t>180 天</w:t>
            </w:r>
          </w:p>
        </w:tc>
        <w:tc>
          <w:tcPr>
            <w:tcW w:type="dxa" w:w="3920"/>
          </w:tcPr>
          <w:p>
            <w:r>
              <w:rPr>
                <w:rFonts w:ascii="Calibri" w:hAnsi="Calibri" w:eastAsia="Microsoft YaHei"/>
                <w:b w:val="0"/>
                <w:color w:val="202D3C"/>
              </w:rPr>
              <w:t>若模考进入可竞争区间，继续全力；若长期停滞，转为备选并恢复技术/Agent 主线。</w:t>
            </w:r>
          </w:p>
        </w:tc>
        <w:tc>
          <w:tcPr>
            <w:tcW w:type="dxa" w:w="3840"/>
          </w:tcPr>
          <w:p>
            <w:r>
              <w:rPr>
                <w:rFonts w:ascii="Calibri" w:hAnsi="Calibri" w:eastAsia="Microsoft YaHei"/>
                <w:b w:val="0"/>
                <w:color w:val="202D3C"/>
              </w:rPr>
              <w:t>用数据决定，不用焦虑决定。</w:t>
            </w:r>
          </w:p>
        </w:tc>
      </w:tr>
    </w:tbl>
    <w:p/>
    <w:p>
      <w:pPr>
        <w:pStyle w:val="Heading1"/>
        <w:keepNext/>
        <w:spacing w:before="320" w:after="160"/>
      </w:pPr>
      <w:r>
        <w:rPr>
          <w:rFonts w:ascii="Calibri" w:hAnsi="Calibri" w:eastAsia="Microsoft YaHei"/>
          <w:b/>
          <w:color w:val="2E74B5"/>
        </w:rPr>
        <w:t>10. 决策信号</w:t>
      </w:r>
    </w:p>
    <w:p>
      <w:pPr>
        <w:pStyle w:val="ListBullet"/>
        <w:spacing w:after="100" w:line="280" w:lineRule="auto"/>
        <w:ind w:left="720" w:hanging="360"/>
      </w:pPr>
      <w:r>
        <w:rPr>
          <w:rFonts w:ascii="Calibri" w:hAnsi="Calibri" w:eastAsia="Microsoft YaHei"/>
          <w:b w:val="0"/>
        </w:rPr>
        <w:t>增强信号：你能连续 3 个月稳定刷题，模考分数持续提升，且能接受材料写作。</w:t>
      </w:r>
    </w:p>
    <w:p>
      <w:pPr>
        <w:pStyle w:val="ListBullet"/>
        <w:spacing w:after="100" w:line="280" w:lineRule="auto"/>
        <w:ind w:left="720" w:hanging="360"/>
      </w:pPr>
      <w:r>
        <w:rPr>
          <w:rFonts w:ascii="Calibri" w:hAnsi="Calibri" w:eastAsia="Microsoft YaHei"/>
          <w:b w:val="0"/>
        </w:rPr>
        <w:t>削弱信号：你在第 2 个月就开始明显逃避重复题和背诵。</w:t>
      </w:r>
    </w:p>
    <w:p>
      <w:pPr>
        <w:pStyle w:val="ListBullet"/>
        <w:spacing w:after="100" w:line="280" w:lineRule="auto"/>
        <w:ind w:left="720" w:hanging="360"/>
      </w:pPr>
      <w:r>
        <w:rPr>
          <w:rFonts w:ascii="Calibri" w:hAnsi="Calibri" w:eastAsia="Microsoft YaHei"/>
          <w:b w:val="0"/>
        </w:rPr>
        <w:t>策略建议：作为稳定路线保留，但必须设置月度闸门，避免把一年押成新的考研循环。</w:t>
      </w:r>
    </w:p>
    <w:p>
      <w:pPr>
        <w:pStyle w:val="Heading1"/>
        <w:keepNext/>
        <w:spacing w:before="320" w:after="160"/>
      </w:pPr>
      <w:r>
        <w:rPr>
          <w:rFonts w:ascii="Calibri" w:hAnsi="Calibri" w:eastAsia="Microsoft YaHei"/>
          <w:b/>
          <w:color w:val="2E74B5"/>
        </w:rPr>
        <w:t>资料依据</w:t>
      </w:r>
    </w:p>
    <w:p>
      <w:pPr>
        <w:pStyle w:val="ListBullet"/>
        <w:spacing w:after="100" w:line="280" w:lineRule="auto"/>
        <w:ind w:left="720" w:hanging="360"/>
      </w:pPr>
      <w:r>
        <w:rPr>
          <w:rFonts w:ascii="Calibri" w:hAnsi="Calibri" w:eastAsia="Microsoft YaHei"/>
          <w:b w:val="0"/>
        </w:rPr>
        <w:t>WEF《The Future of Jobs Report 2025》：技术变化、AI、技能重塑会持续影响 2025-2030 年劳动力市场。https://www.weforum.org/publications/the-future-of-jobs-report-2025/</w:t>
      </w:r>
    </w:p>
    <w:p>
      <w:pPr>
        <w:pStyle w:val="ListBullet"/>
        <w:spacing w:after="100" w:line="280" w:lineRule="auto"/>
        <w:ind w:left="720" w:hanging="360"/>
      </w:pPr>
      <w:r>
        <w:rPr>
          <w:rFonts w:ascii="Calibri" w:hAnsi="Calibri" w:eastAsia="Microsoft YaHei"/>
          <w:b w:val="0"/>
        </w:rPr>
        <w:t>BLS Occupational Outlook Handbook：软件开发、质量保障与测试岗位 2024-2034 年预计增长 15%，但传统 Computer Programmer 岗位预计下降 6%，重复编码任务受自动化影响更明显。https://www.bls.gov/ooh/computer-and-information-technology/software-developers.htm</w:t>
      </w:r>
    </w:p>
    <w:p>
      <w:pPr>
        <w:pStyle w:val="ListBullet"/>
        <w:spacing w:after="100" w:line="280" w:lineRule="auto"/>
        <w:ind w:left="720" w:hanging="360"/>
      </w:pPr>
      <w:r>
        <w:rPr>
          <w:rFonts w:ascii="Calibri" w:hAnsi="Calibri" w:eastAsia="Microsoft YaHei"/>
          <w:b w:val="0"/>
        </w:rPr>
        <w:t>GitHub Octoverse 2024：生成式 AI 项目、Python、Jupyter Notebook、AI agent 和小模型生态快速增长，说明 AI 原生开发正在变成软件工程的一部分。https://github.blog/news-insights/octoverse/octoverse-2024/</w:t>
      </w:r>
    </w:p>
    <w:p>
      <w:pPr>
        <w:pStyle w:val="ListBullet"/>
        <w:spacing w:after="100" w:line="280" w:lineRule="auto"/>
        <w:ind w:left="720" w:hanging="360"/>
      </w:pPr>
      <w:r>
        <w:rPr>
          <w:rFonts w:ascii="Calibri" w:hAnsi="Calibri" w:eastAsia="Microsoft YaHei"/>
          <w:b w:val="0"/>
        </w:rPr>
        <w:t>四川省人民政府网站：成都元宇宙行动方案提出 2025 年相关产业规模目标 1500 亿元；成都具身智能、机器人、AI 实景验证和数字文创场景正在扩展。https://www.sc.gov.cn/10462/10464/10465/10595/2023/1/4/fdcc2f41865a4202a332d2903b500098.shtml</w:t>
      </w:r>
    </w:p>
    <w:p>
      <w:pPr>
        <w:pStyle w:val="ListBullet"/>
        <w:spacing w:after="100" w:line="280" w:lineRule="auto"/>
        <w:ind w:left="720" w:hanging="360"/>
      </w:pPr>
      <w:r>
        <w:rPr>
          <w:rFonts w:ascii="Calibri" w:hAnsi="Calibri" w:eastAsia="Microsoft YaHei"/>
          <w:b w:val="0"/>
        </w:rPr>
        <w:t>教育部等五部门《关于进一步做好非全日制研究生就业工作的通知》：全日制和非全日制研究生学历学位证书具有同等法律地位和相同效力，但具体报考仍需以岗位公告为准。https://www.moe.gov.cn/srcsite/A22/s7065/202002/t20200214_421068.html</w:t>
      </w:r>
    </w:p>
    <w:tbl>
      <w:tblPr>
        <w:tblStyle w:val="TableGrid"/>
        <w:tblW w:type="dxa" w:w="9360"/>
        <w:jc w:val="center"/>
        <w:tblLook w:firstColumn="1" w:firstRow="1" w:lastColumn="0" w:lastRow="0" w:noHBand="0" w:noVBand="1" w:val="04A0"/>
        <w:tblInd w:w="120" w:type="dxa"/>
      </w:tblPr>
      <w:tblGrid>
        <w:gridCol w:w="9360"/>
      </w:tblGrid>
      <w:tr>
        <w:tc>
          <w:tcPr>
            <w:tcW w:type="dxa" w:w="9360"/>
            <w:vAlign w:val="center"/>
            <w:shd w:fill="E8EEF5"/>
          </w:tcPr>
          <w:p>
            <w:pPr>
              <w:spacing w:after="80"/>
            </w:pPr>
            <w:r>
              <w:rPr>
                <w:rFonts w:ascii="Calibri" w:hAnsi="Calibri" w:eastAsia="Microsoft YaHei"/>
                <w:b/>
                <w:color w:val="1F4D78"/>
              </w:rPr>
              <w:t>使用建议</w:t>
            </w:r>
            <w:r>
              <w:rPr>
                <w:rFonts w:ascii="Calibri" w:hAnsi="Calibri" w:eastAsia="Microsoft YaHei"/>
                <w:color w:val="202D3C"/>
              </w:rPr>
              <w:t>：先把这份报告当作路线地图，不要把它当成结论。下一步应选择 1-2 条最有兴趣的路径做 30 天验证，用真实产出和情绪反馈修正判断。</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color w:val="5C6874"/>
        <w:sz w:val="18"/>
      </w:rPr>
      <w:t>Personal Planning Decision Report | 2026-05-22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Microsoft YaHei"/>
        <w:color w:val="5C6874"/>
        <w:sz w:val="18"/>
      </w:rPr>
      <w:t>Chengdu Public Sector Stable Path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color w:val="202D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YaHe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icrosoft YaHei"/>
      <w:b w:val="0"/>
      <w:i/>
      <w:iCs/>
      <w:color w:val="5C68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