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left"/>
      </w:pPr>
      <w:r>
        <w:rPr>
          <w:rFonts w:ascii="Calibri" w:hAnsi="Calibri" w:eastAsia="Microsoft YaHei"/>
          <w:b/>
          <w:color w:val="2E74B5"/>
          <w:sz w:val="40"/>
        </w:rPr>
        <w:t>AI Product Transition Path Report</w:t>
      </w:r>
    </w:p>
    <w:p>
      <w:pPr>
        <w:pStyle w:val="Subtitle"/>
        <w:spacing w:after="240"/>
      </w:pPr>
      <w:r>
        <w:rPr>
          <w:rFonts w:ascii="Calibri" w:hAnsi="Calibri" w:eastAsia="Microsoft YaHei"/>
          <w:color w:val="5C6874"/>
          <w:sz w:val="24"/>
        </w:rPr>
        <w:t>AI 产品经理、技术产品、解决方案与产品运营转型决策报告</w:t>
      </w:r>
    </w:p>
    <w:tbl>
      <w:tblPr>
        <w:tblStyle w:val="TableGrid"/>
        <w:tblW w:type="dxa" w:w="9360"/>
        <w:jc w:val="center"/>
        <w:tblLook w:firstColumn="1" w:firstRow="1" w:lastColumn="0" w:lastRow="0" w:noHBand="0" w:noVBand="1" w:val="04A0"/>
        <w:tblInd w:w="120" w:type="dxa"/>
      </w:tblPr>
      <w:tblGrid>
        <w:gridCol w:w="2700"/>
        <w:gridCol w:w="6660"/>
      </w:tblGrid>
      <w:tr>
        <w:tc>
          <w:tcPr>
            <w:tcW w:type="dxa" w:w="2700"/>
            <w:shd w:fill="E8EEF5"/>
          </w:tcPr>
          <w:p>
            <w:r>
              <w:rPr>
                <w:rFonts w:ascii="Calibri" w:hAnsi="Calibri" w:eastAsia="Microsoft YaHei"/>
                <w:b/>
                <w:color w:val="202D3C"/>
              </w:rPr>
              <w:t>报告用途</w:t>
            </w:r>
          </w:p>
        </w:tc>
        <w:tc>
          <w:tcPr>
            <w:tcW w:type="dxa" w:w="6660"/>
          </w:tcPr>
          <w:p>
            <w:r>
              <w:rPr>
                <w:rFonts w:ascii="Calibri" w:hAnsi="Calibri" w:eastAsia="Microsoft YaHei"/>
                <w:color w:val="202D3C"/>
              </w:rPr>
              <w:t>用于比较该发展曲线是否值得投入 3-6 个月验证，而不是直接决定最终职业目标。</w:t>
            </w:r>
          </w:p>
        </w:tc>
      </w:tr>
      <w:tr>
        <w:tc>
          <w:tcPr>
            <w:tcW w:type="dxa" w:w="2700"/>
            <w:shd w:fill="E8EEF5"/>
          </w:tcPr>
          <w:p>
            <w:r>
              <w:rPr>
                <w:rFonts w:ascii="Calibri" w:hAnsi="Calibri" w:eastAsia="Microsoft YaHei"/>
                <w:b/>
                <w:color w:val="202D3C"/>
              </w:rPr>
              <w:t>个人基准</w:t>
            </w:r>
          </w:p>
        </w:tc>
        <w:tc>
          <w:tcPr>
            <w:tcW w:type="dxa" w:w="6660"/>
          </w:tcPr>
          <w:p>
            <w:r>
              <w:rPr>
                <w:rFonts w:ascii="Calibri" w:hAnsi="Calibri" w:eastAsia="Microsoft YaHei"/>
                <w:color w:val="202D3C"/>
              </w:rPr>
              <w:t>成都技术岗 20k RMB/月为满意线；公务员/事业编约 10k RMB/月可接受。</w:t>
            </w:r>
          </w:p>
        </w:tc>
      </w:tr>
      <w:tr>
        <w:tc>
          <w:tcPr>
            <w:tcW w:type="dxa" w:w="2700"/>
            <w:shd w:fill="E8EEF5"/>
          </w:tcPr>
          <w:p>
            <w:r>
              <w:rPr>
                <w:rFonts w:ascii="Calibri" w:hAnsi="Calibri" w:eastAsia="Microsoft YaHei"/>
                <w:b/>
                <w:color w:val="202D3C"/>
              </w:rPr>
              <w:t>精力假设</w:t>
            </w:r>
          </w:p>
        </w:tc>
        <w:tc>
          <w:tcPr>
            <w:tcW w:type="dxa" w:w="6660"/>
          </w:tcPr>
          <w:p>
            <w:r>
              <w:rPr>
                <w:rFonts w:ascii="Calibri" w:hAnsi="Calibri" w:eastAsia="Microsoft YaHei"/>
                <w:color w:val="202D3C"/>
              </w:rPr>
              <w:t>工作日每天约 2 小时，周末每天约 6 小时，每周约 22 小时可用于学习和项目。</w:t>
            </w:r>
          </w:p>
        </w:tc>
      </w:tr>
      <w:tr>
        <w:tc>
          <w:tcPr>
            <w:tcW w:type="dxa" w:w="2700"/>
            <w:shd w:fill="E8EEF5"/>
          </w:tcPr>
          <w:p>
            <w:r>
              <w:rPr>
                <w:rFonts w:ascii="Calibri" w:hAnsi="Calibri" w:eastAsia="Microsoft YaHei"/>
                <w:b/>
                <w:color w:val="202D3C"/>
              </w:rPr>
              <w:t>偏好约束</w:t>
            </w:r>
          </w:p>
        </w:tc>
        <w:tc>
          <w:tcPr>
            <w:tcW w:type="dxa" w:w="6660"/>
          </w:tcPr>
          <w:p>
            <w:r>
              <w:rPr>
                <w:rFonts w:ascii="Calibri" w:hAnsi="Calibri" w:eastAsia="Microsoft YaHei"/>
                <w:color w:val="202D3C"/>
              </w:rPr>
              <w:t>偏好机器人、三维、AI 等未来方向；不喜欢强销售；不接受长期结构性加班。</w:t>
            </w:r>
          </w:p>
        </w:tc>
      </w:tr>
      <w:tr>
        <w:tc>
          <w:tcPr>
            <w:tcW w:type="dxa" w:w="2700"/>
            <w:shd w:fill="E8EEF5"/>
          </w:tcPr>
          <w:p>
            <w:r>
              <w:rPr>
                <w:rFonts w:ascii="Calibri" w:hAnsi="Calibri" w:eastAsia="Microsoft YaHei"/>
                <w:b/>
                <w:color w:val="202D3C"/>
              </w:rPr>
              <w:t>日期</w:t>
            </w:r>
          </w:p>
        </w:tc>
        <w:tc>
          <w:tcPr>
            <w:tcW w:type="dxa" w:w="6660"/>
          </w:tcPr>
          <w:p>
            <w:r>
              <w:rPr>
                <w:rFonts w:ascii="Calibri" w:hAnsi="Calibri" w:eastAsia="Microsoft YaHei"/>
                <w:color w:val="202D3C"/>
              </w:rPr>
              <w:t>2026-05-22</w:t>
            </w:r>
          </w:p>
        </w:tc>
      </w:tr>
    </w:tbl>
    <w:p/>
    <w:tbl>
      <w:tblPr>
        <w:tblStyle w:val="TableGrid"/>
        <w:tblW w:type="dxa" w:w="9360"/>
        <w:jc w:val="center"/>
        <w:tblLook w:firstColumn="1" w:firstRow="1" w:lastColumn="0" w:lastRow="0" w:noHBand="0" w:noVBand="1" w:val="04A0"/>
        <w:tblInd w:w="120" w:type="dxa"/>
      </w:tblPr>
      <w:tblGrid>
        <w:gridCol w:w="9360"/>
      </w:tblGrid>
      <w:tr>
        <w:tc>
          <w:tcPr>
            <w:tcW w:type="dxa" w:w="9360"/>
            <w:vAlign w:val="center"/>
            <w:shd w:fill="F4F6F9"/>
          </w:tcPr>
          <w:p>
            <w:pPr>
              <w:spacing w:after="80"/>
            </w:pPr>
            <w:r>
              <w:rPr>
                <w:rFonts w:ascii="Calibri" w:hAnsi="Calibri" w:eastAsia="Microsoft YaHei"/>
                <w:b/>
                <w:color w:val="1F4D78"/>
              </w:rPr>
              <w:t>一句话判断</w:t>
            </w:r>
            <w:r>
              <w:rPr>
                <w:rFonts w:ascii="Calibri" w:hAnsi="Calibri" w:eastAsia="Microsoft YaHei"/>
                <w:color w:val="202D3C"/>
              </w:rPr>
              <w:t>：可以作为大转型候选，但必须谨慎区分“技术产品”与“强销售/纯协调/背锅型产品”。你愿意大转型，这是机会；但你的优势来自工程理解和系统判断，不应放弃技术核去做低门槛运营。</w:t>
            </w:r>
          </w:p>
        </w:tc>
      </w:tr>
    </w:tbl>
    <w:p/>
    <w:p>
      <w:pPr>
        <w:pStyle w:val="Heading1"/>
        <w:keepNext/>
        <w:spacing w:before="320" w:after="160"/>
      </w:pPr>
      <w:r>
        <w:rPr>
          <w:rFonts w:ascii="Calibri" w:hAnsi="Calibri" w:eastAsia="Microsoft YaHei"/>
          <w:b/>
          <w:color w:val="2E74B5"/>
        </w:rPr>
        <w:t>1. 路线定义</w:t>
      </w:r>
    </w:p>
    <w:p>
      <w:pPr>
        <w:pStyle w:val="ListBullet"/>
        <w:spacing w:after="100" w:line="280" w:lineRule="auto"/>
        <w:ind w:left="720" w:hanging="360"/>
      </w:pPr>
      <w:r>
        <w:rPr>
          <w:rFonts w:ascii="Calibri" w:hAnsi="Calibri" w:eastAsia="Microsoft YaHei"/>
          <w:b w:val="0"/>
        </w:rPr>
        <w:t>这条路包括 AI 产品经理、技术产品经理、解决方案产品、内部工具产品、AI 平台产品、视频/视觉/机器人相关产品规划。</w:t>
      </w:r>
    </w:p>
    <w:p>
      <w:pPr>
        <w:pStyle w:val="ListBullet"/>
        <w:spacing w:after="100" w:line="280" w:lineRule="auto"/>
        <w:ind w:left="720" w:hanging="360"/>
      </w:pPr>
      <w:r>
        <w:rPr>
          <w:rFonts w:ascii="Calibri" w:hAnsi="Calibri" w:eastAsia="Microsoft YaHei"/>
          <w:b w:val="0"/>
        </w:rPr>
        <w:t>它不适合走强销售、纯商务、纯运营、长期陪客户、无技术含量的需求传话筒路线。</w:t>
      </w:r>
    </w:p>
    <w:p>
      <w:pPr>
        <w:pStyle w:val="ListBullet"/>
        <w:spacing w:after="100" w:line="280" w:lineRule="auto"/>
        <w:ind w:left="720" w:hanging="360"/>
      </w:pPr>
      <w:r>
        <w:rPr>
          <w:rFonts w:ascii="Calibri" w:hAnsi="Calibri" w:eastAsia="Microsoft YaHei"/>
          <w:b w:val="0"/>
        </w:rPr>
        <w:t>最适合你的版本是“懂工程的 AI 产品/技术产品”：能理解模型边界、系统架构、成本、数据、交付风险和用户场景。</w:t>
      </w:r>
    </w:p>
    <w:p>
      <w:pPr>
        <w:pStyle w:val="Heading1"/>
        <w:keepNext/>
        <w:spacing w:before="320" w:after="160"/>
      </w:pPr>
      <w:r>
        <w:rPr>
          <w:rFonts w:ascii="Calibri" w:hAnsi="Calibri" w:eastAsia="Microsoft YaHei"/>
          <w:b/>
          <w:color w:val="2E74B5"/>
        </w:rPr>
        <w:t>2. 与你的适配度</w:t>
      </w:r>
    </w:p>
    <w:p>
      <w:pPr>
        <w:spacing w:after="120" w:line="264" w:lineRule="auto"/>
      </w:pPr>
      <w:r>
        <w:rPr>
          <w:rFonts w:ascii="Calibri" w:hAnsi="Calibri" w:eastAsia="Microsoft YaHei"/>
          <w:b w:val="0"/>
        </w:rPr>
        <w:t>你愿意大转型，并且对工程质量、流程和架构有判断力，这些都是技术产品的好基础。</w:t>
      </w:r>
    </w:p>
    <w:p>
      <w:pPr>
        <w:spacing w:after="120" w:line="264" w:lineRule="auto"/>
      </w:pPr>
      <w:r>
        <w:rPr>
          <w:rFonts w:ascii="Calibri" w:hAnsi="Calibri" w:eastAsia="Microsoft YaHei"/>
          <w:b w:val="0"/>
        </w:rPr>
        <w:t>INTP 倾向可能让你擅长抽象系统、拆问题、找结构，但产品岗会要求更强的沟通、推进、妥协和对人性的耐心。</w:t>
      </w:r>
    </w:p>
    <w:p>
      <w:pPr>
        <w:spacing w:after="120" w:line="264" w:lineRule="auto"/>
      </w:pPr>
      <w:r>
        <w:rPr>
          <w:rFonts w:ascii="Calibri" w:hAnsi="Calibri" w:eastAsia="Microsoft YaHei"/>
          <w:b w:val="0"/>
        </w:rPr>
        <w:t>你讨厌强销售和长期结构性加班，因此不能去客户压力极重、交付混乱、老板拍脑袋的产品岗。</w:t>
      </w:r>
    </w:p>
    <w:p>
      <w:pPr>
        <w:pStyle w:val="Heading1"/>
        <w:keepNext/>
        <w:spacing w:before="320" w:after="160"/>
      </w:pPr>
      <w:r>
        <w:rPr>
          <w:rFonts w:ascii="Calibri" w:hAnsi="Calibri" w:eastAsia="Microsoft YaHei"/>
          <w:b/>
          <w:color w:val="2E74B5"/>
        </w:rPr>
        <w:t>3. AI 时代价值</w:t>
      </w:r>
    </w:p>
    <w:p>
      <w:pPr>
        <w:spacing w:after="120" w:line="264" w:lineRule="auto"/>
      </w:pPr>
      <w:r>
        <w:rPr>
          <w:rFonts w:ascii="Calibri" w:hAnsi="Calibri" w:eastAsia="Microsoft YaHei"/>
          <w:b w:val="0"/>
        </w:rPr>
        <w:t>AI 产品岗的价值在于判断哪些需求可以用 AI 做、怎样评估效果、怎样控制成本、如何把模型能力嵌入流程。AI 会降低部分原型门槛，但不会替代产品判断、场景取舍、跨团队沟通和落地责任。</w:t>
      </w:r>
    </w:p>
    <w:p>
      <w:pPr>
        <w:pStyle w:val="Heading1"/>
        <w:keepNext/>
        <w:spacing w:before="320" w:after="160"/>
      </w:pPr>
      <w:r>
        <w:rPr>
          <w:rFonts w:ascii="Calibri" w:hAnsi="Calibri" w:eastAsia="Microsoft YaHei"/>
          <w:b/>
          <w:color w:val="2E74B5"/>
        </w:rPr>
        <w:t>4. 成都可行性与收入生活匹配</w:t>
      </w:r>
    </w:p>
    <w:p>
      <w:pPr>
        <w:spacing w:after="120" w:line="264" w:lineRule="auto"/>
      </w:pPr>
      <w:r>
        <w:rPr>
          <w:rFonts w:ascii="Calibri" w:hAnsi="Calibri" w:eastAsia="Microsoft YaHei"/>
          <w:b w:val="0"/>
        </w:rPr>
        <w:t>成都有数字政府、文创、教育、游戏、智慧城市、AI、机器人和企业数字化场景，技术产品岗位可能存在于国企数字化平台、AI 应用公司、ToB 软件公司、文旅科技和智能硬件企业。但高质量产品岗通常要求行业经验和沟通成果，不只是技术背景。</w:t>
      </w:r>
    </w:p>
    <w:p>
      <w:pPr>
        <w:spacing w:after="120" w:line="264" w:lineRule="auto"/>
      </w:pPr>
      <w:r>
        <w:rPr>
          <w:rFonts w:ascii="Calibri" w:hAnsi="Calibri" w:eastAsia="Microsoft YaHei"/>
          <w:b w:val="0"/>
        </w:rPr>
        <w:t>成都 20k 对产品路线可达，但通常要求你能独立负责模块、拿到明确结果，或者有 AI/视频/工业/政企解决方案经验。普通产品运营或初级 PM 可能低于这个目标。</w:t>
      </w:r>
    </w:p>
    <w:p>
      <w:pPr>
        <w:pStyle w:val="Heading1"/>
        <w:keepNext/>
        <w:spacing w:before="320" w:after="160"/>
      </w:pPr>
      <w:r>
        <w:rPr>
          <w:rFonts w:ascii="Calibri" w:hAnsi="Calibri" w:eastAsia="Microsoft YaHei"/>
          <w:b/>
          <w:color w:val="2E74B5"/>
        </w:rPr>
        <w:t>5. 学习成本与可执行性</w:t>
      </w:r>
    </w:p>
    <w:p>
      <w:pPr>
        <w:spacing w:after="120" w:line="264" w:lineRule="auto"/>
      </w:pPr>
      <w:r>
        <w:rPr>
          <w:rFonts w:ascii="Calibri" w:hAnsi="Calibri" w:eastAsia="Microsoft YaHei"/>
          <w:b w:val="0"/>
        </w:rPr>
        <w:t>每周 22 小时可用于补产品方法、行业调研、竞品分析、PRD、原型和访谈。相比技术路线，它不难入门，但难在真实项目经验和人际推进能力。</w:t>
      </w:r>
    </w:p>
    <w:p>
      <w:pPr>
        <w:pStyle w:val="Heading1"/>
        <w:keepNext/>
        <w:spacing w:before="320" w:after="160"/>
      </w:pPr>
      <w:r>
        <w:rPr>
          <w:rFonts w:ascii="Calibri" w:hAnsi="Calibri" w:eastAsia="Microsoft YaHei"/>
          <w:b/>
          <w:color w:val="2E74B5"/>
        </w:rPr>
        <w:t>6. 评分矩阵</w:t>
      </w:r>
    </w:p>
    <w:p>
      <w:pPr>
        <w:spacing w:after="120" w:line="264" w:lineRule="auto"/>
      </w:pPr>
      <w:r>
        <w:rPr>
          <w:rFonts w:ascii="Calibri" w:hAnsi="Calibri" w:eastAsia="Microsoft YaHei"/>
          <w:b w:val="0"/>
        </w:rPr>
        <w:t>评分为 1-5 分。高分不代表一定选择，低分也不代表彻底排除；它用于暴露这条路的真实代价。</w:t>
      </w:r>
    </w:p>
    <w:tbl>
      <w:tblPr>
        <w:tblStyle w:val="TableGrid"/>
        <w:tblW w:type="dxa" w:w="9360"/>
        <w:jc w:val="center"/>
        <w:tblLook w:firstColumn="1" w:firstRow="1" w:lastColumn="0" w:lastRow="0" w:noHBand="0" w:noVBand="1" w:val="04A0"/>
        <w:tblInd w:w="120" w:type="dxa"/>
      </w:tblPr>
      <w:tblGrid>
        <w:gridCol w:w="2100"/>
        <w:gridCol w:w="1500"/>
        <w:gridCol w:w="5760"/>
      </w:tblGrid>
      <w:tr>
        <w:tc>
          <w:tcPr>
            <w:tcW w:type="dxa" w:w="2100"/>
            <w:vAlign w:val="center"/>
            <w:shd w:fill="F2F4F7"/>
          </w:tcPr>
          <w:p>
            <w:r>
              <w:rPr>
                <w:rFonts w:ascii="Calibri" w:hAnsi="Calibri" w:eastAsia="Microsoft YaHei"/>
                <w:b/>
                <w:color w:val="202D3C"/>
              </w:rPr>
              <w:t>维度</w:t>
            </w:r>
          </w:p>
        </w:tc>
        <w:tc>
          <w:tcPr>
            <w:tcW w:type="dxa" w:w="1500"/>
            <w:vAlign w:val="center"/>
            <w:shd w:fill="F2F4F7"/>
          </w:tcPr>
          <w:p>
            <w:r>
              <w:rPr>
                <w:rFonts w:ascii="Calibri" w:hAnsi="Calibri" w:eastAsia="Microsoft YaHei"/>
                <w:b/>
                <w:color w:val="202D3C"/>
              </w:rPr>
              <w:t>评分</w:t>
            </w:r>
          </w:p>
        </w:tc>
        <w:tc>
          <w:tcPr>
            <w:tcW w:type="dxa" w:w="5760"/>
            <w:vAlign w:val="center"/>
            <w:shd w:fill="F2F4F7"/>
          </w:tcPr>
          <w:p>
            <w:r>
              <w:rPr>
                <w:rFonts w:ascii="Calibri" w:hAnsi="Calibri" w:eastAsia="Microsoft YaHei"/>
                <w:b/>
                <w:color w:val="202D3C"/>
              </w:rPr>
              <w:t>解释</w:t>
            </w:r>
          </w:p>
        </w:tc>
      </w:tr>
      <w:tr>
        <w:tc>
          <w:tcPr>
            <w:tcW w:type="dxa" w:w="2100"/>
          </w:tcPr>
          <w:p>
            <w:r>
              <w:rPr>
                <w:rFonts w:ascii="Calibri" w:hAnsi="Calibri" w:eastAsia="Microsoft YaHei"/>
                <w:b/>
                <w:color w:val="202D3C"/>
              </w:rPr>
              <w:t>兴趣匹配</w:t>
            </w:r>
          </w:p>
        </w:tc>
        <w:tc>
          <w:tcPr>
            <w:tcW w:type="dxa" w:w="1500"/>
          </w:tcPr>
          <w:p>
            <w:pPr>
              <w:jc w:val="center"/>
            </w:pPr>
            <w:r>
              <w:rPr>
                <w:rFonts w:ascii="Calibri" w:hAnsi="Calibri" w:eastAsia="Microsoft YaHei"/>
                <w:b w:val="0"/>
                <w:color w:val="202D3C"/>
              </w:rPr>
              <w:t>3/5</w:t>
            </w:r>
          </w:p>
        </w:tc>
        <w:tc>
          <w:tcPr>
            <w:tcW w:type="dxa" w:w="5760"/>
          </w:tcPr>
          <w:p>
            <w:r>
              <w:rPr>
                <w:rFonts w:ascii="Calibri" w:hAnsi="Calibri" w:eastAsia="Microsoft YaHei"/>
                <w:b w:val="0"/>
                <w:color w:val="202D3C"/>
              </w:rPr>
              <w:t>如果能做未来技术产品会有兴趣，纯协调会厌倦。</w:t>
            </w:r>
          </w:p>
        </w:tc>
      </w:tr>
      <w:tr>
        <w:tc>
          <w:tcPr>
            <w:tcW w:type="dxa" w:w="2100"/>
          </w:tcPr>
          <w:p>
            <w:r>
              <w:rPr>
                <w:rFonts w:ascii="Calibri" w:hAnsi="Calibri" w:eastAsia="Microsoft YaHei"/>
                <w:b/>
                <w:color w:val="202D3C"/>
              </w:rPr>
              <w:t>学习成本</w:t>
            </w:r>
          </w:p>
        </w:tc>
        <w:tc>
          <w:tcPr>
            <w:tcW w:type="dxa" w:w="1500"/>
          </w:tcPr>
          <w:p>
            <w:pPr>
              <w:jc w:val="center"/>
            </w:pPr>
            <w:r>
              <w:rPr>
                <w:rFonts w:ascii="Calibri" w:hAnsi="Calibri" w:eastAsia="Microsoft YaHei"/>
                <w:b w:val="0"/>
                <w:color w:val="202D3C"/>
              </w:rPr>
              <w:t>4/5</w:t>
            </w:r>
          </w:p>
        </w:tc>
        <w:tc>
          <w:tcPr>
            <w:tcW w:type="dxa" w:w="5760"/>
          </w:tcPr>
          <w:p>
            <w:r>
              <w:rPr>
                <w:rFonts w:ascii="Calibri" w:hAnsi="Calibri" w:eastAsia="Microsoft YaHei"/>
                <w:b w:val="0"/>
                <w:color w:val="202D3C"/>
              </w:rPr>
              <w:t>知识入门较快，但能力验证依赖真实协作场景。</w:t>
            </w:r>
          </w:p>
        </w:tc>
      </w:tr>
      <w:tr>
        <w:tc>
          <w:tcPr>
            <w:tcW w:type="dxa" w:w="2100"/>
          </w:tcPr>
          <w:p>
            <w:r>
              <w:rPr>
                <w:rFonts w:ascii="Calibri" w:hAnsi="Calibri" w:eastAsia="Microsoft YaHei"/>
                <w:b/>
                <w:color w:val="202D3C"/>
              </w:rPr>
              <w:t>成都可行性</w:t>
            </w:r>
          </w:p>
        </w:tc>
        <w:tc>
          <w:tcPr>
            <w:tcW w:type="dxa" w:w="1500"/>
          </w:tcPr>
          <w:p>
            <w:pPr>
              <w:jc w:val="center"/>
            </w:pPr>
            <w:r>
              <w:rPr>
                <w:rFonts w:ascii="Calibri" w:hAnsi="Calibri" w:eastAsia="Microsoft YaHei"/>
                <w:b w:val="0"/>
                <w:color w:val="202D3C"/>
              </w:rPr>
              <w:t>4/5</w:t>
            </w:r>
          </w:p>
        </w:tc>
        <w:tc>
          <w:tcPr>
            <w:tcW w:type="dxa" w:w="5760"/>
          </w:tcPr>
          <w:p>
            <w:r>
              <w:rPr>
                <w:rFonts w:ascii="Calibri" w:hAnsi="Calibri" w:eastAsia="Microsoft YaHei"/>
                <w:b w:val="0"/>
                <w:color w:val="202D3C"/>
              </w:rPr>
              <w:t>成都政企、文创、AI 应用和数字化公司有机会。</w:t>
            </w:r>
          </w:p>
        </w:tc>
      </w:tr>
      <w:tr>
        <w:tc>
          <w:tcPr>
            <w:tcW w:type="dxa" w:w="2100"/>
          </w:tcPr>
          <w:p>
            <w:r>
              <w:rPr>
                <w:rFonts w:ascii="Calibri" w:hAnsi="Calibri" w:eastAsia="Microsoft YaHei"/>
                <w:b/>
                <w:color w:val="202D3C"/>
              </w:rPr>
              <w:t>薪资上限</w:t>
            </w:r>
          </w:p>
        </w:tc>
        <w:tc>
          <w:tcPr>
            <w:tcW w:type="dxa" w:w="1500"/>
          </w:tcPr>
          <w:p>
            <w:pPr>
              <w:jc w:val="center"/>
            </w:pPr>
            <w:r>
              <w:rPr>
                <w:rFonts w:ascii="Calibri" w:hAnsi="Calibri" w:eastAsia="Microsoft YaHei"/>
                <w:b w:val="0"/>
                <w:color w:val="202D3C"/>
              </w:rPr>
              <w:t>4/5</w:t>
            </w:r>
          </w:p>
        </w:tc>
        <w:tc>
          <w:tcPr>
            <w:tcW w:type="dxa" w:w="5760"/>
          </w:tcPr>
          <w:p>
            <w:r>
              <w:rPr>
                <w:rFonts w:ascii="Calibri" w:hAnsi="Calibri" w:eastAsia="Microsoft YaHei"/>
                <w:b w:val="0"/>
                <w:color w:val="202D3C"/>
              </w:rPr>
              <w:t>技术产品做深有上限，普通运营上限较低。</w:t>
            </w:r>
          </w:p>
        </w:tc>
      </w:tr>
      <w:tr>
        <w:tc>
          <w:tcPr>
            <w:tcW w:type="dxa" w:w="2100"/>
          </w:tcPr>
          <w:p>
            <w:r>
              <w:rPr>
                <w:rFonts w:ascii="Calibri" w:hAnsi="Calibri" w:eastAsia="Microsoft YaHei"/>
                <w:b/>
                <w:color w:val="202D3C"/>
              </w:rPr>
              <w:t>稳定性</w:t>
            </w:r>
          </w:p>
        </w:tc>
        <w:tc>
          <w:tcPr>
            <w:tcW w:type="dxa" w:w="1500"/>
          </w:tcPr>
          <w:p>
            <w:pPr>
              <w:jc w:val="center"/>
            </w:pPr>
            <w:r>
              <w:rPr>
                <w:rFonts w:ascii="Calibri" w:hAnsi="Calibri" w:eastAsia="Microsoft YaHei"/>
                <w:b w:val="0"/>
                <w:color w:val="202D3C"/>
              </w:rPr>
              <w:t>3/5</w:t>
            </w:r>
          </w:p>
        </w:tc>
        <w:tc>
          <w:tcPr>
            <w:tcW w:type="dxa" w:w="5760"/>
          </w:tcPr>
          <w:p>
            <w:r>
              <w:rPr>
                <w:rFonts w:ascii="Calibri" w:hAnsi="Calibri" w:eastAsia="Microsoft YaHei"/>
                <w:b w:val="0"/>
                <w:color w:val="202D3C"/>
              </w:rPr>
              <w:t>产品岗受公司质量、老板风格和业务成败影响大。</w:t>
            </w:r>
          </w:p>
        </w:tc>
      </w:tr>
      <w:tr>
        <w:tc>
          <w:tcPr>
            <w:tcW w:type="dxa" w:w="2100"/>
          </w:tcPr>
          <w:p>
            <w:r>
              <w:rPr>
                <w:rFonts w:ascii="Calibri" w:hAnsi="Calibri" w:eastAsia="Microsoft YaHei"/>
                <w:b/>
                <w:color w:val="202D3C"/>
              </w:rPr>
              <w:t>AI 抗冲击</w:t>
            </w:r>
          </w:p>
        </w:tc>
        <w:tc>
          <w:tcPr>
            <w:tcW w:type="dxa" w:w="1500"/>
          </w:tcPr>
          <w:p>
            <w:pPr>
              <w:jc w:val="center"/>
            </w:pPr>
            <w:r>
              <w:rPr>
                <w:rFonts w:ascii="Calibri" w:hAnsi="Calibri" w:eastAsia="Microsoft YaHei"/>
                <w:b w:val="0"/>
                <w:color w:val="202D3C"/>
              </w:rPr>
              <w:t>4/5</w:t>
            </w:r>
          </w:p>
        </w:tc>
        <w:tc>
          <w:tcPr>
            <w:tcW w:type="dxa" w:w="5760"/>
          </w:tcPr>
          <w:p>
            <w:r>
              <w:rPr>
                <w:rFonts w:ascii="Calibri" w:hAnsi="Calibri" w:eastAsia="Microsoft YaHei"/>
                <w:b w:val="0"/>
                <w:color w:val="202D3C"/>
              </w:rPr>
              <w:t>AI 产品化能力会更重要，但低端产品文档岗会被压缩。</w:t>
            </w:r>
          </w:p>
        </w:tc>
      </w:tr>
      <w:tr>
        <w:tc>
          <w:tcPr>
            <w:tcW w:type="dxa" w:w="2100"/>
          </w:tcPr>
          <w:p>
            <w:r>
              <w:rPr>
                <w:rFonts w:ascii="Calibri" w:hAnsi="Calibri" w:eastAsia="Microsoft YaHei"/>
                <w:b/>
                <w:color w:val="202D3C"/>
              </w:rPr>
              <w:t>转型风险</w:t>
            </w:r>
          </w:p>
        </w:tc>
        <w:tc>
          <w:tcPr>
            <w:tcW w:type="dxa" w:w="1500"/>
          </w:tcPr>
          <w:p>
            <w:pPr>
              <w:jc w:val="center"/>
            </w:pPr>
            <w:r>
              <w:rPr>
                <w:rFonts w:ascii="Calibri" w:hAnsi="Calibri" w:eastAsia="Microsoft YaHei"/>
                <w:b w:val="0"/>
                <w:color w:val="202D3C"/>
              </w:rPr>
              <w:t>2/5</w:t>
            </w:r>
          </w:p>
        </w:tc>
        <w:tc>
          <w:tcPr>
            <w:tcW w:type="dxa" w:w="5760"/>
          </w:tcPr>
          <w:p>
            <w:r>
              <w:rPr>
                <w:rFonts w:ascii="Calibri" w:hAnsi="Calibri" w:eastAsia="Microsoft YaHei"/>
                <w:b w:val="0"/>
                <w:color w:val="202D3C"/>
              </w:rPr>
              <w:t>从工程转产品意味着评价体系和日常工作方式大变。</w:t>
            </w:r>
          </w:p>
        </w:tc>
      </w:tr>
      <w:tr>
        <w:tc>
          <w:tcPr>
            <w:tcW w:type="dxa" w:w="2100"/>
          </w:tcPr>
          <w:p>
            <w:r>
              <w:rPr>
                <w:rFonts w:ascii="Calibri" w:hAnsi="Calibri" w:eastAsia="Microsoft YaHei"/>
                <w:b/>
                <w:color w:val="202D3C"/>
              </w:rPr>
              <w:t>个人精力匹配</w:t>
            </w:r>
          </w:p>
        </w:tc>
        <w:tc>
          <w:tcPr>
            <w:tcW w:type="dxa" w:w="1500"/>
          </w:tcPr>
          <w:p>
            <w:pPr>
              <w:jc w:val="center"/>
            </w:pPr>
            <w:r>
              <w:rPr>
                <w:rFonts w:ascii="Calibri" w:hAnsi="Calibri" w:eastAsia="Microsoft YaHei"/>
                <w:b w:val="0"/>
                <w:color w:val="202D3C"/>
              </w:rPr>
              <w:t>3/5</w:t>
            </w:r>
          </w:p>
        </w:tc>
        <w:tc>
          <w:tcPr>
            <w:tcW w:type="dxa" w:w="5760"/>
          </w:tcPr>
          <w:p>
            <w:r>
              <w:rPr>
                <w:rFonts w:ascii="Calibri" w:hAnsi="Calibri" w:eastAsia="Microsoft YaHei"/>
                <w:b w:val="0"/>
                <w:color w:val="202D3C"/>
              </w:rPr>
              <w:t>适合思考和结构化，不一定适合高频扯皮。</w:t>
            </w:r>
          </w:p>
        </w:tc>
      </w:tr>
    </w:tbl>
    <w:p/>
    <w:p>
      <w:pPr>
        <w:pStyle w:val="Heading1"/>
        <w:keepNext/>
        <w:spacing w:before="320" w:after="160"/>
      </w:pPr>
      <w:r>
        <w:rPr>
          <w:rFonts w:ascii="Calibri" w:hAnsi="Calibri" w:eastAsia="Microsoft YaHei"/>
          <w:b/>
          <w:color w:val="2E74B5"/>
        </w:rPr>
        <w:t>7. 1 年 / 3 年 / 5 年发展曲线</w:t>
      </w:r>
    </w:p>
    <w:tbl>
      <w:tblPr>
        <w:tblStyle w:val="TableGrid"/>
        <w:tblW w:type="dxa" w:w="9360"/>
        <w:jc w:val="center"/>
        <w:tblLook w:firstColumn="1" w:firstRow="1" w:lastColumn="0" w:lastRow="0" w:noHBand="0" w:noVBand="1" w:val="04A0"/>
        <w:tblInd w:w="120" w:type="dxa"/>
      </w:tblPr>
      <w:tblGrid>
        <w:gridCol w:w="1600"/>
        <w:gridCol w:w="3940"/>
        <w:gridCol w:w="3820"/>
      </w:tblGrid>
      <w:tr>
        <w:tc>
          <w:tcPr>
            <w:tcW w:type="dxa" w:w="1600"/>
            <w:vAlign w:val="center"/>
            <w:shd w:fill="F2F4F7"/>
          </w:tcPr>
          <w:p>
            <w:r>
              <w:rPr>
                <w:rFonts w:ascii="Calibri" w:hAnsi="Calibri" w:eastAsia="Microsoft YaHei"/>
                <w:b/>
                <w:color w:val="202D3C"/>
              </w:rPr>
              <w:t>时间</w:t>
            </w:r>
          </w:p>
        </w:tc>
        <w:tc>
          <w:tcPr>
            <w:tcW w:type="dxa" w:w="3940"/>
            <w:vAlign w:val="center"/>
            <w:shd w:fill="F2F4F7"/>
          </w:tcPr>
          <w:p>
            <w:r>
              <w:rPr>
                <w:rFonts w:ascii="Calibri" w:hAnsi="Calibri" w:eastAsia="Microsoft YaHei"/>
                <w:b/>
                <w:color w:val="202D3C"/>
              </w:rPr>
              <w:t>合理目标</w:t>
            </w:r>
          </w:p>
        </w:tc>
        <w:tc>
          <w:tcPr>
            <w:tcW w:type="dxa" w:w="3820"/>
            <w:vAlign w:val="center"/>
            <w:shd w:fill="F2F4F7"/>
          </w:tcPr>
          <w:p>
            <w:r>
              <w:rPr>
                <w:rFonts w:ascii="Calibri" w:hAnsi="Calibri" w:eastAsia="Microsoft YaHei"/>
                <w:b/>
                <w:color w:val="202D3C"/>
              </w:rPr>
              <w:t>判断重点</w:t>
            </w:r>
          </w:p>
        </w:tc>
      </w:tr>
      <w:tr>
        <w:tc>
          <w:tcPr>
            <w:tcW w:type="dxa" w:w="1600"/>
          </w:tcPr>
          <w:p>
            <w:r>
              <w:rPr>
                <w:rFonts w:ascii="Calibri" w:hAnsi="Calibri" w:eastAsia="Microsoft YaHei"/>
                <w:b/>
                <w:color w:val="202D3C"/>
              </w:rPr>
              <w:t>1 年</w:t>
            </w:r>
          </w:p>
        </w:tc>
        <w:tc>
          <w:tcPr>
            <w:tcW w:type="dxa" w:w="3940"/>
          </w:tcPr>
          <w:p>
            <w:r>
              <w:rPr>
                <w:rFonts w:ascii="Calibri" w:hAnsi="Calibri" w:eastAsia="Microsoft YaHei"/>
                <w:b w:val="0"/>
                <w:color w:val="202D3C"/>
              </w:rPr>
              <w:t>从技术产品/AI 应用产品助理型角色切入，完成 2-3 份高质量 PRD/竞品/方案作品。</w:t>
            </w:r>
          </w:p>
        </w:tc>
        <w:tc>
          <w:tcPr>
            <w:tcW w:type="dxa" w:w="3820"/>
          </w:tcPr>
          <w:p>
            <w:r>
              <w:rPr>
                <w:rFonts w:ascii="Calibri" w:hAnsi="Calibri" w:eastAsia="Microsoft YaHei"/>
                <w:b w:val="0"/>
                <w:color w:val="202D3C"/>
              </w:rPr>
              <w:t>你是否喜欢沟通推进而不只是分析。</w:t>
            </w:r>
          </w:p>
        </w:tc>
      </w:tr>
      <w:tr>
        <w:tc>
          <w:tcPr>
            <w:tcW w:type="dxa" w:w="1600"/>
          </w:tcPr>
          <w:p>
            <w:r>
              <w:rPr>
                <w:rFonts w:ascii="Calibri" w:hAnsi="Calibri" w:eastAsia="Microsoft YaHei"/>
                <w:b/>
                <w:color w:val="202D3C"/>
              </w:rPr>
              <w:t>3 年</w:t>
            </w:r>
          </w:p>
        </w:tc>
        <w:tc>
          <w:tcPr>
            <w:tcW w:type="dxa" w:w="3940"/>
          </w:tcPr>
          <w:p>
            <w:r>
              <w:rPr>
                <w:rFonts w:ascii="Calibri" w:hAnsi="Calibri" w:eastAsia="Microsoft YaHei"/>
                <w:b w:val="0"/>
                <w:color w:val="202D3C"/>
              </w:rPr>
              <w:t>成为 AI/视频/机器人/企业数字化方向产品经理，能负责独立模块。</w:t>
            </w:r>
          </w:p>
        </w:tc>
        <w:tc>
          <w:tcPr>
            <w:tcW w:type="dxa" w:w="3820"/>
          </w:tcPr>
          <w:p>
            <w:r>
              <w:rPr>
                <w:rFonts w:ascii="Calibri" w:hAnsi="Calibri" w:eastAsia="Microsoft YaHei"/>
                <w:b w:val="0"/>
                <w:color w:val="202D3C"/>
              </w:rPr>
              <w:t>是否能拿到结果和业务信任。</w:t>
            </w:r>
          </w:p>
        </w:tc>
      </w:tr>
      <w:tr>
        <w:tc>
          <w:tcPr>
            <w:tcW w:type="dxa" w:w="1600"/>
          </w:tcPr>
          <w:p>
            <w:r>
              <w:rPr>
                <w:rFonts w:ascii="Calibri" w:hAnsi="Calibri" w:eastAsia="Microsoft YaHei"/>
                <w:b/>
                <w:color w:val="202D3C"/>
              </w:rPr>
              <w:t>5 年</w:t>
            </w:r>
          </w:p>
        </w:tc>
        <w:tc>
          <w:tcPr>
            <w:tcW w:type="dxa" w:w="3940"/>
          </w:tcPr>
          <w:p>
            <w:r>
              <w:rPr>
                <w:rFonts w:ascii="Calibri" w:hAnsi="Calibri" w:eastAsia="Microsoft YaHei"/>
                <w:b w:val="0"/>
                <w:color w:val="202D3C"/>
              </w:rPr>
              <w:t>向技术产品负责人、解决方案负责人、AI 产品 Lead 或业务负责人发展。</w:t>
            </w:r>
          </w:p>
        </w:tc>
        <w:tc>
          <w:tcPr>
            <w:tcW w:type="dxa" w:w="3820"/>
          </w:tcPr>
          <w:p>
            <w:r>
              <w:rPr>
                <w:rFonts w:ascii="Calibri" w:hAnsi="Calibri" w:eastAsia="Microsoft YaHei"/>
                <w:b w:val="0"/>
                <w:color w:val="202D3C"/>
              </w:rPr>
              <w:t>是否愿意承担更强的人和业务压力。</w:t>
            </w:r>
          </w:p>
        </w:tc>
      </w:tr>
    </w:tbl>
    <w:p/>
    <w:p>
      <w:pPr>
        <w:pStyle w:val="Heading1"/>
        <w:keepNext/>
        <w:spacing w:before="320" w:after="160"/>
      </w:pPr>
      <w:r>
        <w:rPr>
          <w:rFonts w:ascii="Calibri" w:hAnsi="Calibri" w:eastAsia="Microsoft YaHei"/>
          <w:b/>
          <w:color w:val="2E74B5"/>
        </w:rPr>
        <w:t>8. 风险和陷阱</w:t>
      </w:r>
    </w:p>
    <w:p>
      <w:pPr>
        <w:pStyle w:val="ListBullet"/>
        <w:spacing w:after="100" w:line="280" w:lineRule="auto"/>
        <w:ind w:left="720" w:hanging="360"/>
      </w:pPr>
      <w:r>
        <w:rPr>
          <w:rFonts w:ascii="Calibri" w:hAnsi="Calibri" w:eastAsia="Microsoft YaHei"/>
          <w:b w:val="0"/>
        </w:rPr>
        <w:t>产品岗可能变成协调、催进度、写材料和背锅，而不是思考未来技术。</w:t>
      </w:r>
    </w:p>
    <w:p>
      <w:pPr>
        <w:pStyle w:val="ListBullet"/>
        <w:spacing w:after="100" w:line="280" w:lineRule="auto"/>
        <w:ind w:left="720" w:hanging="360"/>
      </w:pPr>
      <w:r>
        <w:rPr>
          <w:rFonts w:ascii="Calibri" w:hAnsi="Calibri" w:eastAsia="Microsoft YaHei"/>
          <w:b w:val="0"/>
        </w:rPr>
        <w:t>强销售和客户陪伴型岗位与你偏好冲突。</w:t>
      </w:r>
    </w:p>
    <w:p>
      <w:pPr>
        <w:pStyle w:val="ListBullet"/>
        <w:spacing w:after="100" w:line="280" w:lineRule="auto"/>
        <w:ind w:left="720" w:hanging="360"/>
      </w:pPr>
      <w:r>
        <w:rPr>
          <w:rFonts w:ascii="Calibri" w:hAnsi="Calibri" w:eastAsia="Microsoft YaHei"/>
          <w:b w:val="0"/>
        </w:rPr>
        <w:t>脱离技术太快会失去差异化。</w:t>
      </w:r>
    </w:p>
    <w:p>
      <w:pPr>
        <w:pStyle w:val="ListBullet"/>
        <w:spacing w:after="100" w:line="280" w:lineRule="auto"/>
        <w:ind w:left="720" w:hanging="360"/>
      </w:pPr>
      <w:r>
        <w:rPr>
          <w:rFonts w:ascii="Calibri" w:hAnsi="Calibri" w:eastAsia="Microsoft YaHei"/>
          <w:b w:val="0"/>
        </w:rPr>
        <w:t>如果表达和推进能力没有刻意训练，转型初期会痛苦。</w:t>
      </w:r>
    </w:p>
    <w:p>
      <w:pPr>
        <w:pStyle w:val="Heading1"/>
        <w:keepNext/>
        <w:spacing w:before="320" w:after="160"/>
      </w:pPr>
      <w:r>
        <w:rPr>
          <w:rFonts w:ascii="Calibri" w:hAnsi="Calibri" w:eastAsia="Microsoft YaHei"/>
          <w:b/>
          <w:color w:val="2E74B5"/>
        </w:rPr>
        <w:t>9. 30 / 90 / 180 天验证计划</w:t>
      </w:r>
    </w:p>
    <w:tbl>
      <w:tblPr>
        <w:tblStyle w:val="TableGrid"/>
        <w:tblW w:type="dxa" w:w="9360"/>
        <w:jc w:val="center"/>
        <w:tblLook w:firstColumn="1" w:firstRow="1" w:lastColumn="0" w:lastRow="0" w:noHBand="0" w:noVBand="1" w:val="04A0"/>
        <w:tblInd w:w="120" w:type="dxa"/>
      </w:tblPr>
      <w:tblGrid>
        <w:gridCol w:w="1600"/>
        <w:gridCol w:w="3920"/>
        <w:gridCol w:w="3840"/>
      </w:tblGrid>
      <w:tr>
        <w:tc>
          <w:tcPr>
            <w:tcW w:type="dxa" w:w="1600"/>
            <w:vAlign w:val="center"/>
            <w:shd w:fill="F2F4F7"/>
          </w:tcPr>
          <w:p>
            <w:r>
              <w:rPr>
                <w:rFonts w:ascii="Calibri" w:hAnsi="Calibri" w:eastAsia="Microsoft YaHei"/>
                <w:b/>
                <w:color w:val="202D3C"/>
              </w:rPr>
              <w:t>阶段</w:t>
            </w:r>
          </w:p>
        </w:tc>
        <w:tc>
          <w:tcPr>
            <w:tcW w:type="dxa" w:w="3920"/>
            <w:vAlign w:val="center"/>
            <w:shd w:fill="F2F4F7"/>
          </w:tcPr>
          <w:p>
            <w:r>
              <w:rPr>
                <w:rFonts w:ascii="Calibri" w:hAnsi="Calibri" w:eastAsia="Microsoft YaHei"/>
                <w:b/>
                <w:color w:val="202D3C"/>
              </w:rPr>
              <w:t>验证动作</w:t>
            </w:r>
          </w:p>
        </w:tc>
        <w:tc>
          <w:tcPr>
            <w:tcW w:type="dxa" w:w="3840"/>
            <w:vAlign w:val="center"/>
            <w:shd w:fill="F2F4F7"/>
          </w:tcPr>
          <w:p>
            <w:r>
              <w:rPr>
                <w:rFonts w:ascii="Calibri" w:hAnsi="Calibri" w:eastAsia="Microsoft YaHei"/>
                <w:b/>
                <w:color w:val="202D3C"/>
              </w:rPr>
              <w:t>通过信号</w:t>
            </w:r>
          </w:p>
        </w:tc>
      </w:tr>
      <w:tr>
        <w:tc>
          <w:tcPr>
            <w:tcW w:type="dxa" w:w="1600"/>
          </w:tcPr>
          <w:p>
            <w:r>
              <w:rPr>
                <w:rFonts w:ascii="Calibri" w:hAnsi="Calibri" w:eastAsia="Microsoft YaHei"/>
                <w:b/>
                <w:color w:val="202D3C"/>
              </w:rPr>
              <w:t>30 天</w:t>
            </w:r>
          </w:p>
        </w:tc>
        <w:tc>
          <w:tcPr>
            <w:tcW w:type="dxa" w:w="3920"/>
          </w:tcPr>
          <w:p>
            <w:r>
              <w:rPr>
                <w:rFonts w:ascii="Calibri" w:hAnsi="Calibri" w:eastAsia="Microsoft YaHei"/>
                <w:b w:val="0"/>
                <w:color w:val="202D3C"/>
              </w:rPr>
              <w:t>选一个 Agent/视频/机器人产品，写一份竞品分析和需求拆解。</w:t>
            </w:r>
          </w:p>
        </w:tc>
        <w:tc>
          <w:tcPr>
            <w:tcW w:type="dxa" w:w="3840"/>
          </w:tcPr>
          <w:p>
            <w:r>
              <w:rPr>
                <w:rFonts w:ascii="Calibri" w:hAnsi="Calibri" w:eastAsia="Microsoft YaHei"/>
                <w:b w:val="0"/>
                <w:color w:val="202D3C"/>
              </w:rPr>
              <w:t>你是否享受从用户、场景、商业角度思考。</w:t>
            </w:r>
          </w:p>
        </w:tc>
      </w:tr>
      <w:tr>
        <w:tc>
          <w:tcPr>
            <w:tcW w:type="dxa" w:w="1600"/>
          </w:tcPr>
          <w:p>
            <w:r>
              <w:rPr>
                <w:rFonts w:ascii="Calibri" w:hAnsi="Calibri" w:eastAsia="Microsoft YaHei"/>
                <w:b/>
                <w:color w:val="202D3C"/>
              </w:rPr>
              <w:t>90 天</w:t>
            </w:r>
          </w:p>
        </w:tc>
        <w:tc>
          <w:tcPr>
            <w:tcW w:type="dxa" w:w="3920"/>
          </w:tcPr>
          <w:p>
            <w:r>
              <w:rPr>
                <w:rFonts w:ascii="Calibri" w:hAnsi="Calibri" w:eastAsia="Microsoft YaHei"/>
                <w:b w:val="0"/>
                <w:color w:val="202D3C"/>
              </w:rPr>
              <w:t>把一个个人 Agent 或视频工具做成完整 PRD、原型和技术可行性说明。</w:t>
            </w:r>
          </w:p>
        </w:tc>
        <w:tc>
          <w:tcPr>
            <w:tcW w:type="dxa" w:w="3840"/>
          </w:tcPr>
          <w:p>
            <w:r>
              <w:rPr>
                <w:rFonts w:ascii="Calibri" w:hAnsi="Calibri" w:eastAsia="Microsoft YaHei"/>
                <w:b w:val="0"/>
                <w:color w:val="202D3C"/>
              </w:rPr>
              <w:t>你能否把技术想法转成产品语言。</w:t>
            </w:r>
          </w:p>
        </w:tc>
      </w:tr>
      <w:tr>
        <w:tc>
          <w:tcPr>
            <w:tcW w:type="dxa" w:w="1600"/>
          </w:tcPr>
          <w:p>
            <w:r>
              <w:rPr>
                <w:rFonts w:ascii="Calibri" w:hAnsi="Calibri" w:eastAsia="Microsoft YaHei"/>
                <w:b/>
                <w:color w:val="202D3C"/>
              </w:rPr>
              <w:t>180 天</w:t>
            </w:r>
          </w:p>
        </w:tc>
        <w:tc>
          <w:tcPr>
            <w:tcW w:type="dxa" w:w="3920"/>
          </w:tcPr>
          <w:p>
            <w:r>
              <w:rPr>
                <w:rFonts w:ascii="Calibri" w:hAnsi="Calibri" w:eastAsia="Microsoft YaHei"/>
                <w:b w:val="0"/>
                <w:color w:val="202D3C"/>
              </w:rPr>
              <w:t>尝试内部推动一个小工具或找技术产品岗位访谈，验证真实工作日常。</w:t>
            </w:r>
          </w:p>
        </w:tc>
        <w:tc>
          <w:tcPr>
            <w:tcW w:type="dxa" w:w="3840"/>
          </w:tcPr>
          <w:p>
            <w:r>
              <w:rPr>
                <w:rFonts w:ascii="Calibri" w:hAnsi="Calibri" w:eastAsia="Microsoft YaHei"/>
                <w:b w:val="0"/>
                <w:color w:val="202D3C"/>
              </w:rPr>
              <w:t>你能接受沟通、推进和不确定性。</w:t>
            </w:r>
          </w:p>
        </w:tc>
      </w:tr>
    </w:tbl>
    <w:p/>
    <w:p>
      <w:pPr>
        <w:pStyle w:val="Heading1"/>
        <w:keepNext/>
        <w:spacing w:before="320" w:after="160"/>
      </w:pPr>
      <w:r>
        <w:rPr>
          <w:rFonts w:ascii="Calibri" w:hAnsi="Calibri" w:eastAsia="Microsoft YaHei"/>
          <w:b/>
          <w:color w:val="2E74B5"/>
        </w:rPr>
        <w:t>10. 决策信号</w:t>
      </w:r>
    </w:p>
    <w:p>
      <w:pPr>
        <w:pStyle w:val="ListBullet"/>
        <w:spacing w:after="100" w:line="280" w:lineRule="auto"/>
        <w:ind w:left="720" w:hanging="360"/>
      </w:pPr>
      <w:r>
        <w:rPr>
          <w:rFonts w:ascii="Calibri" w:hAnsi="Calibri" w:eastAsia="Microsoft YaHei"/>
          <w:b w:val="0"/>
        </w:rPr>
        <w:t>增强信号：你能把复杂技术讲清楚，并愿意和非技术人反复沟通。</w:t>
      </w:r>
    </w:p>
    <w:p>
      <w:pPr>
        <w:pStyle w:val="ListBullet"/>
        <w:spacing w:after="100" w:line="280" w:lineRule="auto"/>
        <w:ind w:left="720" w:hanging="360"/>
      </w:pPr>
      <w:r>
        <w:rPr>
          <w:rFonts w:ascii="Calibri" w:hAnsi="Calibri" w:eastAsia="Microsoft YaHei"/>
          <w:b w:val="0"/>
        </w:rPr>
        <w:t>削弱信号：你讨厌会议、催办、需求变化和人际协调。</w:t>
      </w:r>
    </w:p>
    <w:p>
      <w:pPr>
        <w:pStyle w:val="ListBullet"/>
        <w:spacing w:after="100" w:line="280" w:lineRule="auto"/>
        <w:ind w:left="720" w:hanging="360"/>
      </w:pPr>
      <w:r>
        <w:rPr>
          <w:rFonts w:ascii="Calibri" w:hAnsi="Calibri" w:eastAsia="Microsoft YaHei"/>
          <w:b w:val="0"/>
        </w:rPr>
        <w:t>策略建议：不要直接跳纯产品，先走 AI 技术产品/解决方案产品，保留技术核。</w:t>
      </w:r>
    </w:p>
    <w:p>
      <w:pPr>
        <w:pStyle w:val="Heading1"/>
        <w:keepNext/>
        <w:spacing w:before="320" w:after="160"/>
      </w:pPr>
      <w:r>
        <w:rPr>
          <w:rFonts w:ascii="Calibri" w:hAnsi="Calibri" w:eastAsia="Microsoft YaHei"/>
          <w:b/>
          <w:color w:val="2E74B5"/>
        </w:rPr>
        <w:t>资料依据</w:t>
      </w:r>
    </w:p>
    <w:p>
      <w:pPr>
        <w:pStyle w:val="ListBullet"/>
        <w:spacing w:after="100" w:line="280" w:lineRule="auto"/>
        <w:ind w:left="720" w:hanging="360"/>
      </w:pPr>
      <w:r>
        <w:rPr>
          <w:rFonts w:ascii="Calibri" w:hAnsi="Calibri" w:eastAsia="Microsoft YaHei"/>
          <w:b w:val="0"/>
        </w:rPr>
        <w:t>WEF《The Future of Jobs Report 2025》：技术变化、AI、技能重塑会持续影响 2025-2030 年劳动力市场。https://www.weforum.org/publications/the-future-of-jobs-report-2025/</w:t>
      </w:r>
    </w:p>
    <w:p>
      <w:pPr>
        <w:pStyle w:val="ListBullet"/>
        <w:spacing w:after="100" w:line="280" w:lineRule="auto"/>
        <w:ind w:left="720" w:hanging="360"/>
      </w:pPr>
      <w:r>
        <w:rPr>
          <w:rFonts w:ascii="Calibri" w:hAnsi="Calibri" w:eastAsia="Microsoft YaHei"/>
          <w:b w:val="0"/>
        </w:rPr>
        <w:t>BLS Occupational Outlook Handbook：软件开发、质量保障与测试岗位 2024-2034 年预计增长 15%，但传统 Computer Programmer 岗位预计下降 6%，重复编码任务受自动化影响更明显。https://www.bls.gov/ooh/computer-and-information-technology/software-developers.htm</w:t>
      </w:r>
    </w:p>
    <w:p>
      <w:pPr>
        <w:pStyle w:val="ListBullet"/>
        <w:spacing w:after="100" w:line="280" w:lineRule="auto"/>
        <w:ind w:left="720" w:hanging="360"/>
      </w:pPr>
      <w:r>
        <w:rPr>
          <w:rFonts w:ascii="Calibri" w:hAnsi="Calibri" w:eastAsia="Microsoft YaHei"/>
          <w:b w:val="0"/>
        </w:rPr>
        <w:t>GitHub Octoverse 2024：生成式 AI 项目、Python、Jupyter Notebook、AI agent 和小模型生态快速增长，说明 AI 原生开发正在变成软件工程的一部分。https://github.blog/news-insights/octoverse/octoverse-2024/</w:t>
      </w:r>
    </w:p>
    <w:p>
      <w:pPr>
        <w:pStyle w:val="ListBullet"/>
        <w:spacing w:after="100" w:line="280" w:lineRule="auto"/>
        <w:ind w:left="720" w:hanging="360"/>
      </w:pPr>
      <w:r>
        <w:rPr>
          <w:rFonts w:ascii="Calibri" w:hAnsi="Calibri" w:eastAsia="Microsoft YaHei"/>
          <w:b w:val="0"/>
        </w:rPr>
        <w:t>四川省人民政府网站：成都元宇宙行动方案提出 2025 年相关产业规模目标 1500 亿元；成都具身智能、机器人、AI 实景验证和数字文创场景正在扩展。https://www.sc.gov.cn/10462/10464/10465/10595/2023/1/4/fdcc2f41865a4202a332d2903b500098.shtml</w:t>
      </w:r>
    </w:p>
    <w:p>
      <w:pPr>
        <w:pStyle w:val="ListBullet"/>
        <w:spacing w:after="100" w:line="280" w:lineRule="auto"/>
        <w:ind w:left="720" w:hanging="360"/>
      </w:pPr>
      <w:r>
        <w:rPr>
          <w:rFonts w:ascii="Calibri" w:hAnsi="Calibri" w:eastAsia="Microsoft YaHei"/>
          <w:b w:val="0"/>
        </w:rPr>
        <w:t>教育部等五部门《关于进一步做好非全日制研究生就业工作的通知》：全日制和非全日制研究生学历学位证书具有同等法律地位和相同效力，但具体报考仍需以岗位公告为准。https://www.moe.gov.cn/srcsite/A22/s7065/202002/t20200214_421068.html</w:t>
      </w:r>
    </w:p>
    <w:tbl>
      <w:tblPr>
        <w:tblStyle w:val="TableGrid"/>
        <w:tblW w:type="dxa" w:w="9360"/>
        <w:jc w:val="center"/>
        <w:tblLook w:firstColumn="1" w:firstRow="1" w:lastColumn="0" w:lastRow="0" w:noHBand="0" w:noVBand="1" w:val="04A0"/>
        <w:tblInd w:w="120" w:type="dxa"/>
      </w:tblPr>
      <w:tblGrid>
        <w:gridCol w:w="9360"/>
      </w:tblGrid>
      <w:tr>
        <w:tc>
          <w:tcPr>
            <w:tcW w:type="dxa" w:w="9360"/>
            <w:vAlign w:val="center"/>
            <w:shd w:fill="E8EEF5"/>
          </w:tcPr>
          <w:p>
            <w:pPr>
              <w:spacing w:after="80"/>
            </w:pPr>
            <w:r>
              <w:rPr>
                <w:rFonts w:ascii="Calibri" w:hAnsi="Calibri" w:eastAsia="Microsoft YaHei"/>
                <w:b/>
                <w:color w:val="1F4D78"/>
              </w:rPr>
              <w:t>使用建议</w:t>
            </w:r>
            <w:r>
              <w:rPr>
                <w:rFonts w:ascii="Calibri" w:hAnsi="Calibri" w:eastAsia="Microsoft YaHei"/>
                <w:color w:val="202D3C"/>
              </w:rPr>
              <w:t>：先把这份报告当作路线地图，不要把它当成结论。下一步应选择 1-2 条最有兴趣的路径做 30 天验证，用真实产出和情绪反馈修正判断。</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YaHei"/>
        <w:color w:val="5C6874"/>
        <w:sz w:val="18"/>
      </w:rPr>
      <w:t>Personal Planning Decision Report | 2026-05-22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Microsoft YaHei"/>
        <w:color w:val="5C6874"/>
        <w:sz w:val="18"/>
      </w:rPr>
      <w:t>AI Product Transition Path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color w:val="202D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YaHe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Microsoft YaHei"/>
      <w:b w:val="0"/>
      <w:i/>
      <w:iCs/>
      <w:color w:val="5C687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