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jc w:val="left"/>
      </w:pPr>
      <w:r>
        <w:rPr>
          <w:rFonts w:ascii="Calibri" w:hAnsi="Calibri" w:eastAsia="Microsoft YaHei"/>
          <w:b/>
          <w:color w:val="2E74B5"/>
          <w:sz w:val="40"/>
        </w:rPr>
        <w:t>C++ Video Media AI Path Report</w:t>
      </w:r>
    </w:p>
    <w:p>
      <w:pPr>
        <w:pStyle w:val="Subtitle"/>
        <w:spacing w:after="240"/>
      </w:pPr>
      <w:r>
        <w:rPr>
          <w:rFonts w:ascii="Calibri" w:hAnsi="Calibri" w:eastAsia="Microsoft YaHei"/>
          <w:color w:val="5C6874"/>
          <w:sz w:val="24"/>
        </w:rPr>
        <w:t>C++ 视频系统、实时媒体、插件架构与 AI 推理集成决策报告</w:t>
      </w:r>
    </w:p>
    <w:tbl>
      <w:tblPr>
        <w:tblStyle w:val="TableGrid"/>
        <w:tblW w:type="dxa" w:w="9360"/>
        <w:jc w:val="center"/>
        <w:tblLook w:firstColumn="1" w:firstRow="1" w:lastColumn="0" w:lastRow="0" w:noHBand="0" w:noVBand="1" w:val="04A0"/>
        <w:tblInd w:w="120" w:type="dxa"/>
      </w:tblPr>
      <w:tblGrid>
        <w:gridCol w:w="2700"/>
        <w:gridCol w:w="6660"/>
      </w:tblGrid>
      <w:tr>
        <w:tc>
          <w:tcPr>
            <w:tcW w:type="dxa" w:w="2700"/>
            <w:shd w:fill="E8EEF5"/>
          </w:tcPr>
          <w:p>
            <w:r>
              <w:rPr>
                <w:rFonts w:ascii="Calibri" w:hAnsi="Calibri" w:eastAsia="Microsoft YaHei"/>
                <w:b/>
                <w:color w:val="202D3C"/>
              </w:rPr>
              <w:t>报告用途</w:t>
            </w:r>
          </w:p>
        </w:tc>
        <w:tc>
          <w:tcPr>
            <w:tcW w:type="dxa" w:w="6660"/>
          </w:tcPr>
          <w:p>
            <w:r>
              <w:rPr>
                <w:rFonts w:ascii="Calibri" w:hAnsi="Calibri" w:eastAsia="Microsoft YaHei"/>
                <w:color w:val="202D3C"/>
              </w:rPr>
              <w:t>用于比较该发展曲线是否值得投入 3-6 个月验证，而不是直接决定最终职业目标。</w:t>
            </w:r>
          </w:p>
        </w:tc>
      </w:tr>
      <w:tr>
        <w:tc>
          <w:tcPr>
            <w:tcW w:type="dxa" w:w="2700"/>
            <w:shd w:fill="E8EEF5"/>
          </w:tcPr>
          <w:p>
            <w:r>
              <w:rPr>
                <w:rFonts w:ascii="Calibri" w:hAnsi="Calibri" w:eastAsia="Microsoft YaHei"/>
                <w:b/>
                <w:color w:val="202D3C"/>
              </w:rPr>
              <w:t>个人基准</w:t>
            </w:r>
          </w:p>
        </w:tc>
        <w:tc>
          <w:tcPr>
            <w:tcW w:type="dxa" w:w="6660"/>
          </w:tcPr>
          <w:p>
            <w:r>
              <w:rPr>
                <w:rFonts w:ascii="Calibri" w:hAnsi="Calibri" w:eastAsia="Microsoft YaHei"/>
                <w:color w:val="202D3C"/>
              </w:rPr>
              <w:t>成都技术岗 20k RMB/月为满意线；公务员/事业编约 10k RMB/月可接受。</w:t>
            </w:r>
          </w:p>
        </w:tc>
      </w:tr>
      <w:tr>
        <w:tc>
          <w:tcPr>
            <w:tcW w:type="dxa" w:w="2700"/>
            <w:shd w:fill="E8EEF5"/>
          </w:tcPr>
          <w:p>
            <w:r>
              <w:rPr>
                <w:rFonts w:ascii="Calibri" w:hAnsi="Calibri" w:eastAsia="Microsoft YaHei"/>
                <w:b/>
                <w:color w:val="202D3C"/>
              </w:rPr>
              <w:t>精力假设</w:t>
            </w:r>
          </w:p>
        </w:tc>
        <w:tc>
          <w:tcPr>
            <w:tcW w:type="dxa" w:w="6660"/>
          </w:tcPr>
          <w:p>
            <w:r>
              <w:rPr>
                <w:rFonts w:ascii="Calibri" w:hAnsi="Calibri" w:eastAsia="Microsoft YaHei"/>
                <w:color w:val="202D3C"/>
              </w:rPr>
              <w:t>工作日每天约 2 小时，周末每天约 6 小时，每周约 22 小时可用于学习和项目。</w:t>
            </w:r>
          </w:p>
        </w:tc>
      </w:tr>
      <w:tr>
        <w:tc>
          <w:tcPr>
            <w:tcW w:type="dxa" w:w="2700"/>
            <w:shd w:fill="E8EEF5"/>
          </w:tcPr>
          <w:p>
            <w:r>
              <w:rPr>
                <w:rFonts w:ascii="Calibri" w:hAnsi="Calibri" w:eastAsia="Microsoft YaHei"/>
                <w:b/>
                <w:color w:val="202D3C"/>
              </w:rPr>
              <w:t>偏好约束</w:t>
            </w:r>
          </w:p>
        </w:tc>
        <w:tc>
          <w:tcPr>
            <w:tcW w:type="dxa" w:w="6660"/>
          </w:tcPr>
          <w:p>
            <w:r>
              <w:rPr>
                <w:rFonts w:ascii="Calibri" w:hAnsi="Calibri" w:eastAsia="Microsoft YaHei"/>
                <w:color w:val="202D3C"/>
              </w:rPr>
              <w:t>偏好机器人、三维、AI 等未来方向；不喜欢强销售；不接受长期结构性加班。</w:t>
            </w:r>
          </w:p>
        </w:tc>
      </w:tr>
      <w:tr>
        <w:tc>
          <w:tcPr>
            <w:tcW w:type="dxa" w:w="2700"/>
            <w:shd w:fill="E8EEF5"/>
          </w:tcPr>
          <w:p>
            <w:r>
              <w:rPr>
                <w:rFonts w:ascii="Calibri" w:hAnsi="Calibri" w:eastAsia="Microsoft YaHei"/>
                <w:b/>
                <w:color w:val="202D3C"/>
              </w:rPr>
              <w:t>日期</w:t>
            </w:r>
          </w:p>
        </w:tc>
        <w:tc>
          <w:tcPr>
            <w:tcW w:type="dxa" w:w="6660"/>
          </w:tcPr>
          <w:p>
            <w:r>
              <w:rPr>
                <w:rFonts w:ascii="Calibri" w:hAnsi="Calibri" w:eastAsia="Microsoft YaHei"/>
                <w:color w:val="202D3C"/>
              </w:rPr>
              <w:t>2026-05-22</w:t>
            </w:r>
          </w:p>
        </w:tc>
      </w:tr>
    </w:tbl>
    <w:p/>
    <w:tbl>
      <w:tblPr>
        <w:tblStyle w:val="TableGrid"/>
        <w:tblW w:type="dxa" w:w="9360"/>
        <w:jc w:val="center"/>
        <w:tblLook w:firstColumn="1" w:firstRow="1" w:lastColumn="0" w:lastRow="0" w:noHBand="0" w:noVBand="1" w:val="04A0"/>
        <w:tblInd w:w="120" w:type="dxa"/>
      </w:tblPr>
      <w:tblGrid>
        <w:gridCol w:w="9360"/>
      </w:tblGrid>
      <w:tr>
        <w:tc>
          <w:tcPr>
            <w:tcW w:type="dxa" w:w="9360"/>
            <w:vAlign w:val="center"/>
            <w:shd w:fill="F4F6F9"/>
          </w:tcPr>
          <w:p>
            <w:pPr>
              <w:spacing w:after="80"/>
            </w:pPr>
            <w:r>
              <w:rPr>
                <w:rFonts w:ascii="Calibri" w:hAnsi="Calibri" w:eastAsia="Microsoft YaHei"/>
                <w:b/>
                <w:color w:val="1F4D78"/>
              </w:rPr>
              <w:t>一句话判断</w:t>
            </w:r>
            <w:r>
              <w:rPr>
                <w:rFonts w:ascii="Calibri" w:hAnsi="Calibri" w:eastAsia="Microsoft YaHei"/>
                <w:color w:val="202D3C"/>
              </w:rPr>
              <w:t>：这是连续性最强、短期性价比最高的技术主线。它未必是最让你兴奋的方向，但它能把你已有的嵌入式、C++、视频插件、导师视觉资源和 AI 工程化连接起来，是适合做保底主线的路线。</w:t>
            </w:r>
          </w:p>
        </w:tc>
      </w:tr>
    </w:tbl>
    <w:p/>
    <w:p>
      <w:pPr>
        <w:pStyle w:val="Heading1"/>
        <w:keepNext/>
        <w:spacing w:before="320" w:after="160"/>
      </w:pPr>
      <w:r>
        <w:rPr>
          <w:rFonts w:ascii="Calibri" w:hAnsi="Calibri" w:eastAsia="Microsoft YaHei"/>
          <w:b/>
          <w:color w:val="2E74B5"/>
        </w:rPr>
        <w:t>1. 路线定义</w:t>
      </w:r>
    </w:p>
    <w:p>
      <w:pPr>
        <w:pStyle w:val="ListBullet"/>
        <w:spacing w:after="100" w:line="280" w:lineRule="auto"/>
        <w:ind w:left="720" w:hanging="360"/>
      </w:pPr>
      <w:r>
        <w:rPr>
          <w:rFonts w:ascii="Calibri" w:hAnsi="Calibri" w:eastAsia="Microsoft YaHei"/>
          <w:b w:val="0"/>
        </w:rPr>
        <w:t>这条路包括 C++ 视频处理、FFmpeg/GStreamer/WebRTC、编解码、实时流媒体、插件架构、跨平台客户端、视频 AI 推理接入、视频质量/性能分析工具。</w:t>
      </w:r>
    </w:p>
    <w:p>
      <w:pPr>
        <w:pStyle w:val="ListBullet"/>
        <w:spacing w:after="100" w:line="280" w:lineRule="auto"/>
        <w:ind w:left="720" w:hanging="360"/>
      </w:pPr>
      <w:r>
        <w:rPr>
          <w:rFonts w:ascii="Calibri" w:hAnsi="Calibri" w:eastAsia="Microsoft YaHei"/>
          <w:b w:val="0"/>
        </w:rPr>
        <w:t>它不等于传统监控运维，也不等于长期看平台告警。你应避免把自己放在低成长的监控项目维护里，而是向视频基础设施、实时媒体系统和 AI 视频能力集成靠拢。</w:t>
      </w:r>
    </w:p>
    <w:p>
      <w:pPr>
        <w:pStyle w:val="ListBullet"/>
        <w:spacing w:after="100" w:line="280" w:lineRule="auto"/>
        <w:ind w:left="720" w:hanging="360"/>
      </w:pPr>
      <w:r>
        <w:rPr>
          <w:rFonts w:ascii="Calibri" w:hAnsi="Calibri" w:eastAsia="Microsoft YaHei"/>
          <w:b w:val="0"/>
        </w:rPr>
        <w:t>这条路可以向 XR、机器人、Agent 工具继续分叉：XR 需要视频和渲染，机器人需要视觉流，Agent 需要自动化处理视频数据和工程流程。</w:t>
      </w:r>
    </w:p>
    <w:p>
      <w:pPr>
        <w:pStyle w:val="Heading1"/>
        <w:keepNext/>
        <w:spacing w:before="320" w:after="160"/>
      </w:pPr>
      <w:r>
        <w:rPr>
          <w:rFonts w:ascii="Calibri" w:hAnsi="Calibri" w:eastAsia="Microsoft YaHei"/>
          <w:b/>
          <w:color w:val="2E74B5"/>
        </w:rPr>
        <w:t>2. 与你的适配度</w:t>
      </w:r>
    </w:p>
    <w:p>
      <w:pPr>
        <w:spacing w:after="120" w:line="264" w:lineRule="auto"/>
      </w:pPr>
      <w:r>
        <w:rPr>
          <w:rFonts w:ascii="Calibri" w:hAnsi="Calibri" w:eastAsia="Microsoft YaHei"/>
          <w:b w:val="0"/>
        </w:rPr>
        <w:t>这条路最符合你的现有资产：嵌入式训练让你理解底层约束，C++ 工作让你有工程入口，视频插件让你接触真实业务，导师视觉方向提供研究连接。</w:t>
      </w:r>
    </w:p>
    <w:p>
      <w:pPr>
        <w:spacing w:after="120" w:line="264" w:lineRule="auto"/>
      </w:pPr>
      <w:r>
        <w:rPr>
          <w:rFonts w:ascii="Calibri" w:hAnsi="Calibri" w:eastAsia="Microsoft YaHei"/>
          <w:b w:val="0"/>
        </w:rPr>
        <w:t>它对数学要求相对可控，更多考验工程严谨性、系统理解、性能意识、架构和文档能力。你对代码质量、流程、架构和文档的敏感度在这条路上是优势。</w:t>
      </w:r>
    </w:p>
    <w:p>
      <w:pPr>
        <w:spacing w:after="120" w:line="264" w:lineRule="auto"/>
      </w:pPr>
      <w:r>
        <w:rPr>
          <w:rFonts w:ascii="Calibri" w:hAnsi="Calibri" w:eastAsia="Microsoft YaHei"/>
          <w:b w:val="0"/>
        </w:rPr>
        <w:t>缺点是它的未来感不如 XR/机器人明显，如果长期只做公司内部插件，会有被业务细节困住的风险。</w:t>
      </w:r>
    </w:p>
    <w:p>
      <w:pPr>
        <w:pStyle w:val="Heading1"/>
        <w:keepNext/>
        <w:spacing w:before="320" w:after="160"/>
      </w:pPr>
      <w:r>
        <w:rPr>
          <w:rFonts w:ascii="Calibri" w:hAnsi="Calibri" w:eastAsia="Microsoft YaHei"/>
          <w:b/>
          <w:color w:val="2E74B5"/>
        </w:rPr>
        <w:t>3. AI 时代价值</w:t>
      </w:r>
    </w:p>
    <w:p>
      <w:pPr>
        <w:spacing w:after="120" w:line="264" w:lineRule="auto"/>
      </w:pPr>
      <w:r>
        <w:rPr>
          <w:rFonts w:ascii="Calibri" w:hAnsi="Calibri" w:eastAsia="Microsoft YaHei"/>
          <w:b w:val="0"/>
        </w:rPr>
        <w:t>AI 会改变视频系统：模型推理、视频摘要、质量检测、智能剪辑、异常识别、检索和多模态理解都需要接入视频管线。AI 可能替代部分普通编码，但不容易替代实时性能、工程集成、跨平台兼容和视频系统调试能力。</w:t>
      </w:r>
    </w:p>
    <w:p>
      <w:pPr>
        <w:pStyle w:val="Heading1"/>
        <w:keepNext/>
        <w:spacing w:before="320" w:after="160"/>
      </w:pPr>
      <w:r>
        <w:rPr>
          <w:rFonts w:ascii="Calibri" w:hAnsi="Calibri" w:eastAsia="Microsoft YaHei"/>
          <w:b/>
          <w:color w:val="2E74B5"/>
        </w:rPr>
        <w:t>4. 成都可行性与收入生活匹配</w:t>
      </w:r>
    </w:p>
    <w:p>
      <w:pPr>
        <w:spacing w:after="120" w:line="264" w:lineRule="auto"/>
      </w:pPr>
      <w:r>
        <w:rPr>
          <w:rFonts w:ascii="Calibri" w:hAnsi="Calibri" w:eastAsia="Microsoft YaHei"/>
          <w:b w:val="0"/>
        </w:rPr>
        <w:t>成都有数字文创、游戏、元宇宙、智慧城市、轨道交通、机器人和 AI 场景，这些都可能需要视频处理或实时媒体能力。但纯高端视频底层岗位不一定多，可能分散在音视频云、安防、会议、文旅互动、数字孪生、轨交智能化、机器人企业中。</w:t>
      </w:r>
    </w:p>
    <w:p>
      <w:pPr>
        <w:spacing w:after="120" w:line="264" w:lineRule="auto"/>
      </w:pPr>
      <w:r>
        <w:rPr>
          <w:rFonts w:ascii="Calibri" w:hAnsi="Calibri" w:eastAsia="Microsoft YaHei"/>
          <w:b w:val="0"/>
        </w:rPr>
        <w:t>成都 20k 目标在这条路上相对现实，前提是你从业务 C++ 开发升级为“视频系统工程师”：熟悉 FFmpeg/GStreamer/WebRTC 至少一个主栈，能做性能分析、架构拆分、AI 推理接入和稳定性治理。</w:t>
      </w:r>
    </w:p>
    <w:p>
      <w:pPr>
        <w:pStyle w:val="Heading1"/>
        <w:keepNext/>
        <w:spacing w:before="320" w:after="160"/>
      </w:pPr>
      <w:r>
        <w:rPr>
          <w:rFonts w:ascii="Calibri" w:hAnsi="Calibri" w:eastAsia="Microsoft YaHei"/>
          <w:b/>
          <w:color w:val="2E74B5"/>
        </w:rPr>
        <w:t>5. 学习成本与可执行性</w:t>
      </w:r>
    </w:p>
    <w:p>
      <w:pPr>
        <w:spacing w:after="120" w:line="264" w:lineRule="auto"/>
      </w:pPr>
      <w:r>
        <w:rPr>
          <w:rFonts w:ascii="Calibri" w:hAnsi="Calibri" w:eastAsia="Microsoft YaHei"/>
          <w:b w:val="0"/>
        </w:rPr>
        <w:t>每周 22 小时投入非常适合这条路。它不需要一次性换赛道，可以边工作边补 FFmpeg/GStreamer/OpenCV/ONNX Runtime，并把工作中的混乱项目整理成架构笔记和工具。</w:t>
      </w:r>
    </w:p>
    <w:p>
      <w:pPr>
        <w:pStyle w:val="Heading1"/>
        <w:keepNext/>
        <w:spacing w:before="320" w:after="160"/>
      </w:pPr>
      <w:r>
        <w:rPr>
          <w:rFonts w:ascii="Calibri" w:hAnsi="Calibri" w:eastAsia="Microsoft YaHei"/>
          <w:b/>
          <w:color w:val="2E74B5"/>
        </w:rPr>
        <w:t>6. 评分矩阵</w:t>
      </w:r>
    </w:p>
    <w:p>
      <w:pPr>
        <w:spacing w:after="120" w:line="264" w:lineRule="auto"/>
      </w:pPr>
      <w:r>
        <w:rPr>
          <w:rFonts w:ascii="Calibri" w:hAnsi="Calibri" w:eastAsia="Microsoft YaHei"/>
          <w:b w:val="0"/>
        </w:rPr>
        <w:t>评分为 1-5 分。高分不代表一定选择，低分也不代表彻底排除；它用于暴露这条路的真实代价。</w:t>
      </w:r>
    </w:p>
    <w:tbl>
      <w:tblPr>
        <w:tblStyle w:val="TableGrid"/>
        <w:tblW w:type="dxa" w:w="9360"/>
        <w:jc w:val="center"/>
        <w:tblLook w:firstColumn="1" w:firstRow="1" w:lastColumn="0" w:lastRow="0" w:noHBand="0" w:noVBand="1" w:val="04A0"/>
        <w:tblInd w:w="120" w:type="dxa"/>
      </w:tblPr>
      <w:tblGrid>
        <w:gridCol w:w="2100"/>
        <w:gridCol w:w="1500"/>
        <w:gridCol w:w="5760"/>
      </w:tblGrid>
      <w:tr>
        <w:tc>
          <w:tcPr>
            <w:tcW w:type="dxa" w:w="2100"/>
            <w:vAlign w:val="center"/>
            <w:shd w:fill="F2F4F7"/>
          </w:tcPr>
          <w:p>
            <w:r>
              <w:rPr>
                <w:rFonts w:ascii="Calibri" w:hAnsi="Calibri" w:eastAsia="Microsoft YaHei"/>
                <w:b/>
                <w:color w:val="202D3C"/>
              </w:rPr>
              <w:t>维度</w:t>
            </w:r>
          </w:p>
        </w:tc>
        <w:tc>
          <w:tcPr>
            <w:tcW w:type="dxa" w:w="1500"/>
            <w:vAlign w:val="center"/>
            <w:shd w:fill="F2F4F7"/>
          </w:tcPr>
          <w:p>
            <w:r>
              <w:rPr>
                <w:rFonts w:ascii="Calibri" w:hAnsi="Calibri" w:eastAsia="Microsoft YaHei"/>
                <w:b/>
                <w:color w:val="202D3C"/>
              </w:rPr>
              <w:t>评分</w:t>
            </w:r>
          </w:p>
        </w:tc>
        <w:tc>
          <w:tcPr>
            <w:tcW w:type="dxa" w:w="5760"/>
            <w:vAlign w:val="center"/>
            <w:shd w:fill="F2F4F7"/>
          </w:tcPr>
          <w:p>
            <w:r>
              <w:rPr>
                <w:rFonts w:ascii="Calibri" w:hAnsi="Calibri" w:eastAsia="Microsoft YaHei"/>
                <w:b/>
                <w:color w:val="202D3C"/>
              </w:rPr>
              <w:t>解释</w:t>
            </w:r>
          </w:p>
        </w:tc>
      </w:tr>
      <w:tr>
        <w:tc>
          <w:tcPr>
            <w:tcW w:type="dxa" w:w="2100"/>
          </w:tcPr>
          <w:p>
            <w:r>
              <w:rPr>
                <w:rFonts w:ascii="Calibri" w:hAnsi="Calibri" w:eastAsia="Microsoft YaHei"/>
                <w:b/>
                <w:color w:val="202D3C"/>
              </w:rPr>
              <w:t>兴趣匹配</w:t>
            </w:r>
          </w:p>
        </w:tc>
        <w:tc>
          <w:tcPr>
            <w:tcW w:type="dxa" w:w="1500"/>
          </w:tcPr>
          <w:p>
            <w:pPr>
              <w:jc w:val="center"/>
            </w:pPr>
            <w:r>
              <w:rPr>
                <w:rFonts w:ascii="Calibri" w:hAnsi="Calibri" w:eastAsia="Microsoft YaHei"/>
                <w:b w:val="0"/>
                <w:color w:val="202D3C"/>
              </w:rPr>
              <w:t>3/5</w:t>
            </w:r>
          </w:p>
        </w:tc>
        <w:tc>
          <w:tcPr>
            <w:tcW w:type="dxa" w:w="5760"/>
          </w:tcPr>
          <w:p>
            <w:r>
              <w:rPr>
                <w:rFonts w:ascii="Calibri" w:hAnsi="Calibri" w:eastAsia="Microsoft YaHei"/>
                <w:b w:val="0"/>
                <w:color w:val="202D3C"/>
              </w:rPr>
              <w:t>不是最兴奋，但与视频、视觉、工程系统有持续连接。</w:t>
            </w:r>
          </w:p>
        </w:tc>
      </w:tr>
      <w:tr>
        <w:tc>
          <w:tcPr>
            <w:tcW w:type="dxa" w:w="2100"/>
          </w:tcPr>
          <w:p>
            <w:r>
              <w:rPr>
                <w:rFonts w:ascii="Calibri" w:hAnsi="Calibri" w:eastAsia="Microsoft YaHei"/>
                <w:b/>
                <w:color w:val="202D3C"/>
              </w:rPr>
              <w:t>学习成本</w:t>
            </w:r>
          </w:p>
        </w:tc>
        <w:tc>
          <w:tcPr>
            <w:tcW w:type="dxa" w:w="1500"/>
          </w:tcPr>
          <w:p>
            <w:pPr>
              <w:jc w:val="center"/>
            </w:pPr>
            <w:r>
              <w:rPr>
                <w:rFonts w:ascii="Calibri" w:hAnsi="Calibri" w:eastAsia="Microsoft YaHei"/>
                <w:b w:val="0"/>
                <w:color w:val="202D3C"/>
              </w:rPr>
              <w:t>4/5</w:t>
            </w:r>
          </w:p>
        </w:tc>
        <w:tc>
          <w:tcPr>
            <w:tcW w:type="dxa" w:w="5760"/>
          </w:tcPr>
          <w:p>
            <w:r>
              <w:rPr>
                <w:rFonts w:ascii="Calibri" w:hAnsi="Calibri" w:eastAsia="Microsoft YaHei"/>
                <w:b w:val="0"/>
                <w:color w:val="202D3C"/>
              </w:rPr>
              <w:t>已有 C++ 和视频工作基础，补课成本相对可控。</w:t>
            </w:r>
          </w:p>
        </w:tc>
      </w:tr>
      <w:tr>
        <w:tc>
          <w:tcPr>
            <w:tcW w:type="dxa" w:w="2100"/>
          </w:tcPr>
          <w:p>
            <w:r>
              <w:rPr>
                <w:rFonts w:ascii="Calibri" w:hAnsi="Calibri" w:eastAsia="Microsoft YaHei"/>
                <w:b/>
                <w:color w:val="202D3C"/>
              </w:rPr>
              <w:t>成都可行性</w:t>
            </w:r>
          </w:p>
        </w:tc>
        <w:tc>
          <w:tcPr>
            <w:tcW w:type="dxa" w:w="1500"/>
          </w:tcPr>
          <w:p>
            <w:pPr>
              <w:jc w:val="center"/>
            </w:pPr>
            <w:r>
              <w:rPr>
                <w:rFonts w:ascii="Calibri" w:hAnsi="Calibri" w:eastAsia="Microsoft YaHei"/>
                <w:b w:val="0"/>
                <w:color w:val="202D3C"/>
              </w:rPr>
              <w:t>3/5</w:t>
            </w:r>
          </w:p>
        </w:tc>
        <w:tc>
          <w:tcPr>
            <w:tcW w:type="dxa" w:w="5760"/>
          </w:tcPr>
          <w:p>
            <w:r>
              <w:rPr>
                <w:rFonts w:ascii="Calibri" w:hAnsi="Calibri" w:eastAsia="Microsoft YaHei"/>
                <w:b w:val="0"/>
                <w:color w:val="202D3C"/>
              </w:rPr>
              <w:t>岗位存在但分散，需要找视频系统而非传统运维。</w:t>
            </w:r>
          </w:p>
        </w:tc>
      </w:tr>
      <w:tr>
        <w:tc>
          <w:tcPr>
            <w:tcW w:type="dxa" w:w="2100"/>
          </w:tcPr>
          <w:p>
            <w:r>
              <w:rPr>
                <w:rFonts w:ascii="Calibri" w:hAnsi="Calibri" w:eastAsia="Microsoft YaHei"/>
                <w:b/>
                <w:color w:val="202D3C"/>
              </w:rPr>
              <w:t>薪资上限</w:t>
            </w:r>
          </w:p>
        </w:tc>
        <w:tc>
          <w:tcPr>
            <w:tcW w:type="dxa" w:w="1500"/>
          </w:tcPr>
          <w:p>
            <w:pPr>
              <w:jc w:val="center"/>
            </w:pPr>
            <w:r>
              <w:rPr>
                <w:rFonts w:ascii="Calibri" w:hAnsi="Calibri" w:eastAsia="Microsoft YaHei"/>
                <w:b w:val="0"/>
                <w:color w:val="202D3C"/>
              </w:rPr>
              <w:t>4/5</w:t>
            </w:r>
          </w:p>
        </w:tc>
        <w:tc>
          <w:tcPr>
            <w:tcW w:type="dxa" w:w="5760"/>
          </w:tcPr>
          <w:p>
            <w:r>
              <w:rPr>
                <w:rFonts w:ascii="Calibri" w:hAnsi="Calibri" w:eastAsia="Microsoft YaHei"/>
                <w:b w:val="0"/>
                <w:color w:val="202D3C"/>
              </w:rPr>
              <w:t>成熟视频系统工程师有较强议价空间。</w:t>
            </w:r>
          </w:p>
        </w:tc>
      </w:tr>
      <w:tr>
        <w:tc>
          <w:tcPr>
            <w:tcW w:type="dxa" w:w="2100"/>
          </w:tcPr>
          <w:p>
            <w:r>
              <w:rPr>
                <w:rFonts w:ascii="Calibri" w:hAnsi="Calibri" w:eastAsia="Microsoft YaHei"/>
                <w:b/>
                <w:color w:val="202D3C"/>
              </w:rPr>
              <w:t>稳定性</w:t>
            </w:r>
          </w:p>
        </w:tc>
        <w:tc>
          <w:tcPr>
            <w:tcW w:type="dxa" w:w="1500"/>
          </w:tcPr>
          <w:p>
            <w:pPr>
              <w:jc w:val="center"/>
            </w:pPr>
            <w:r>
              <w:rPr>
                <w:rFonts w:ascii="Calibri" w:hAnsi="Calibri" w:eastAsia="Microsoft YaHei"/>
                <w:b w:val="0"/>
                <w:color w:val="202D3C"/>
              </w:rPr>
              <w:t>4/5</w:t>
            </w:r>
          </w:p>
        </w:tc>
        <w:tc>
          <w:tcPr>
            <w:tcW w:type="dxa" w:w="5760"/>
          </w:tcPr>
          <w:p>
            <w:r>
              <w:rPr>
                <w:rFonts w:ascii="Calibri" w:hAnsi="Calibri" w:eastAsia="Microsoft YaHei"/>
                <w:b w:val="0"/>
                <w:color w:val="202D3C"/>
              </w:rPr>
              <w:t>视频基础设施和工程能力迁移性较好。</w:t>
            </w:r>
          </w:p>
        </w:tc>
      </w:tr>
      <w:tr>
        <w:tc>
          <w:tcPr>
            <w:tcW w:type="dxa" w:w="2100"/>
          </w:tcPr>
          <w:p>
            <w:r>
              <w:rPr>
                <w:rFonts w:ascii="Calibri" w:hAnsi="Calibri" w:eastAsia="Microsoft YaHei"/>
                <w:b/>
                <w:color w:val="202D3C"/>
              </w:rPr>
              <w:t>AI 抗冲击</w:t>
            </w:r>
          </w:p>
        </w:tc>
        <w:tc>
          <w:tcPr>
            <w:tcW w:type="dxa" w:w="1500"/>
          </w:tcPr>
          <w:p>
            <w:pPr>
              <w:jc w:val="center"/>
            </w:pPr>
            <w:r>
              <w:rPr>
                <w:rFonts w:ascii="Calibri" w:hAnsi="Calibri" w:eastAsia="Microsoft YaHei"/>
                <w:b w:val="0"/>
                <w:color w:val="202D3C"/>
              </w:rPr>
              <w:t>4/5</w:t>
            </w:r>
          </w:p>
        </w:tc>
        <w:tc>
          <w:tcPr>
            <w:tcW w:type="dxa" w:w="5760"/>
          </w:tcPr>
          <w:p>
            <w:r>
              <w:rPr>
                <w:rFonts w:ascii="Calibri" w:hAnsi="Calibri" w:eastAsia="Microsoft YaHei"/>
                <w:b w:val="0"/>
                <w:color w:val="202D3C"/>
              </w:rPr>
              <w:t>AI 需要视频系统承载，工程化能力抗冲击较强。</w:t>
            </w:r>
          </w:p>
        </w:tc>
      </w:tr>
      <w:tr>
        <w:tc>
          <w:tcPr>
            <w:tcW w:type="dxa" w:w="2100"/>
          </w:tcPr>
          <w:p>
            <w:r>
              <w:rPr>
                <w:rFonts w:ascii="Calibri" w:hAnsi="Calibri" w:eastAsia="Microsoft YaHei"/>
                <w:b/>
                <w:color w:val="202D3C"/>
              </w:rPr>
              <w:t>转型风险</w:t>
            </w:r>
          </w:p>
        </w:tc>
        <w:tc>
          <w:tcPr>
            <w:tcW w:type="dxa" w:w="1500"/>
          </w:tcPr>
          <w:p>
            <w:pPr>
              <w:jc w:val="center"/>
            </w:pPr>
            <w:r>
              <w:rPr>
                <w:rFonts w:ascii="Calibri" w:hAnsi="Calibri" w:eastAsia="Microsoft YaHei"/>
                <w:b w:val="0"/>
                <w:color w:val="202D3C"/>
              </w:rPr>
              <w:t>4/5</w:t>
            </w:r>
          </w:p>
        </w:tc>
        <w:tc>
          <w:tcPr>
            <w:tcW w:type="dxa" w:w="5760"/>
          </w:tcPr>
          <w:p>
            <w:r>
              <w:rPr>
                <w:rFonts w:ascii="Calibri" w:hAnsi="Calibri" w:eastAsia="Microsoft YaHei"/>
                <w:b w:val="0"/>
                <w:color w:val="202D3C"/>
              </w:rPr>
              <w:t>与现有经历连续，切换风险最低。</w:t>
            </w:r>
          </w:p>
        </w:tc>
      </w:tr>
      <w:tr>
        <w:tc>
          <w:tcPr>
            <w:tcW w:type="dxa" w:w="2100"/>
          </w:tcPr>
          <w:p>
            <w:r>
              <w:rPr>
                <w:rFonts w:ascii="Calibri" w:hAnsi="Calibri" w:eastAsia="Microsoft YaHei"/>
                <w:b/>
                <w:color w:val="202D3C"/>
              </w:rPr>
              <w:t>个人精力匹配</w:t>
            </w:r>
          </w:p>
        </w:tc>
        <w:tc>
          <w:tcPr>
            <w:tcW w:type="dxa" w:w="1500"/>
          </w:tcPr>
          <w:p>
            <w:pPr>
              <w:jc w:val="center"/>
            </w:pPr>
            <w:r>
              <w:rPr>
                <w:rFonts w:ascii="Calibri" w:hAnsi="Calibri" w:eastAsia="Microsoft YaHei"/>
                <w:b w:val="0"/>
                <w:color w:val="202D3C"/>
              </w:rPr>
              <w:t>4/5</w:t>
            </w:r>
          </w:p>
        </w:tc>
        <w:tc>
          <w:tcPr>
            <w:tcW w:type="dxa" w:w="5760"/>
          </w:tcPr>
          <w:p>
            <w:r>
              <w:rPr>
                <w:rFonts w:ascii="Calibri" w:hAnsi="Calibri" w:eastAsia="Microsoft YaHei"/>
                <w:b w:val="0"/>
                <w:color w:val="202D3C"/>
              </w:rPr>
              <w:t>适合在工作和研究之间稳步积累。</w:t>
            </w:r>
          </w:p>
        </w:tc>
      </w:tr>
    </w:tbl>
    <w:p/>
    <w:p>
      <w:pPr>
        <w:pStyle w:val="Heading1"/>
        <w:keepNext/>
        <w:spacing w:before="320" w:after="160"/>
      </w:pPr>
      <w:r>
        <w:rPr>
          <w:rFonts w:ascii="Calibri" w:hAnsi="Calibri" w:eastAsia="Microsoft YaHei"/>
          <w:b/>
          <w:color w:val="2E74B5"/>
        </w:rPr>
        <w:t>7. 1 年 / 3 年 / 5 年发展曲线</w:t>
      </w:r>
    </w:p>
    <w:tbl>
      <w:tblPr>
        <w:tblStyle w:val="TableGrid"/>
        <w:tblW w:type="dxa" w:w="9360"/>
        <w:jc w:val="center"/>
        <w:tblLook w:firstColumn="1" w:firstRow="1" w:lastColumn="0" w:lastRow="0" w:noHBand="0" w:noVBand="1" w:val="04A0"/>
        <w:tblInd w:w="120" w:type="dxa"/>
      </w:tblPr>
      <w:tblGrid>
        <w:gridCol w:w="1600"/>
        <w:gridCol w:w="3940"/>
        <w:gridCol w:w="3820"/>
      </w:tblGrid>
      <w:tr>
        <w:tc>
          <w:tcPr>
            <w:tcW w:type="dxa" w:w="1600"/>
            <w:vAlign w:val="center"/>
            <w:shd w:fill="F2F4F7"/>
          </w:tcPr>
          <w:p>
            <w:r>
              <w:rPr>
                <w:rFonts w:ascii="Calibri" w:hAnsi="Calibri" w:eastAsia="Microsoft YaHei"/>
                <w:b/>
                <w:color w:val="202D3C"/>
              </w:rPr>
              <w:t>时间</w:t>
            </w:r>
          </w:p>
        </w:tc>
        <w:tc>
          <w:tcPr>
            <w:tcW w:type="dxa" w:w="3940"/>
            <w:vAlign w:val="center"/>
            <w:shd w:fill="F2F4F7"/>
          </w:tcPr>
          <w:p>
            <w:r>
              <w:rPr>
                <w:rFonts w:ascii="Calibri" w:hAnsi="Calibri" w:eastAsia="Microsoft YaHei"/>
                <w:b/>
                <w:color w:val="202D3C"/>
              </w:rPr>
              <w:t>合理目标</w:t>
            </w:r>
          </w:p>
        </w:tc>
        <w:tc>
          <w:tcPr>
            <w:tcW w:type="dxa" w:w="3820"/>
            <w:vAlign w:val="center"/>
            <w:shd w:fill="F2F4F7"/>
          </w:tcPr>
          <w:p>
            <w:r>
              <w:rPr>
                <w:rFonts w:ascii="Calibri" w:hAnsi="Calibri" w:eastAsia="Microsoft YaHei"/>
                <w:b/>
                <w:color w:val="202D3C"/>
              </w:rPr>
              <w:t>判断重点</w:t>
            </w:r>
          </w:p>
        </w:tc>
      </w:tr>
      <w:tr>
        <w:tc>
          <w:tcPr>
            <w:tcW w:type="dxa" w:w="1600"/>
          </w:tcPr>
          <w:p>
            <w:r>
              <w:rPr>
                <w:rFonts w:ascii="Calibri" w:hAnsi="Calibri" w:eastAsia="Microsoft YaHei"/>
                <w:b/>
                <w:color w:val="202D3C"/>
              </w:rPr>
              <w:t>1 年</w:t>
            </w:r>
          </w:p>
        </w:tc>
        <w:tc>
          <w:tcPr>
            <w:tcW w:type="dxa" w:w="3940"/>
          </w:tcPr>
          <w:p>
            <w:r>
              <w:rPr>
                <w:rFonts w:ascii="Calibri" w:hAnsi="Calibri" w:eastAsia="Microsoft YaHei"/>
                <w:b w:val="0"/>
                <w:color w:val="202D3C"/>
              </w:rPr>
              <w:t>建立 FFmpeg/GStreamer/WebRTC/OpenCV/ONNX 中 2-3 项核心能力，完成一个 AI 视频处理 Demo。</w:t>
            </w:r>
          </w:p>
        </w:tc>
        <w:tc>
          <w:tcPr>
            <w:tcW w:type="dxa" w:w="3820"/>
          </w:tcPr>
          <w:p>
            <w:r>
              <w:rPr>
                <w:rFonts w:ascii="Calibri" w:hAnsi="Calibri" w:eastAsia="Microsoft YaHei"/>
                <w:b w:val="0"/>
                <w:color w:val="202D3C"/>
              </w:rPr>
              <w:t>能否从业务插件走向通用视频系统能力。</w:t>
            </w:r>
          </w:p>
        </w:tc>
      </w:tr>
      <w:tr>
        <w:tc>
          <w:tcPr>
            <w:tcW w:type="dxa" w:w="1600"/>
          </w:tcPr>
          <w:p>
            <w:r>
              <w:rPr>
                <w:rFonts w:ascii="Calibri" w:hAnsi="Calibri" w:eastAsia="Microsoft YaHei"/>
                <w:b/>
                <w:color w:val="202D3C"/>
              </w:rPr>
              <w:t>3 年</w:t>
            </w:r>
          </w:p>
        </w:tc>
        <w:tc>
          <w:tcPr>
            <w:tcW w:type="dxa" w:w="3940"/>
          </w:tcPr>
          <w:p>
            <w:r>
              <w:rPr>
                <w:rFonts w:ascii="Calibri" w:hAnsi="Calibri" w:eastAsia="Microsoft YaHei"/>
                <w:b w:val="0"/>
                <w:color w:val="202D3C"/>
              </w:rPr>
              <w:t>成为视频系统/实时媒体/AI 视频工程主力，具备架构、性能、稳定性经验。</w:t>
            </w:r>
          </w:p>
        </w:tc>
        <w:tc>
          <w:tcPr>
            <w:tcW w:type="dxa" w:w="3820"/>
          </w:tcPr>
          <w:p>
            <w:r>
              <w:rPr>
                <w:rFonts w:ascii="Calibri" w:hAnsi="Calibri" w:eastAsia="Microsoft YaHei"/>
                <w:b w:val="0"/>
                <w:color w:val="202D3C"/>
              </w:rPr>
              <w:t>是否拿到成都或远程 20k 级机会。</w:t>
            </w:r>
          </w:p>
        </w:tc>
      </w:tr>
      <w:tr>
        <w:tc>
          <w:tcPr>
            <w:tcW w:type="dxa" w:w="1600"/>
          </w:tcPr>
          <w:p>
            <w:r>
              <w:rPr>
                <w:rFonts w:ascii="Calibri" w:hAnsi="Calibri" w:eastAsia="Microsoft YaHei"/>
                <w:b/>
                <w:color w:val="202D3C"/>
              </w:rPr>
              <w:t>5 年</w:t>
            </w:r>
          </w:p>
        </w:tc>
        <w:tc>
          <w:tcPr>
            <w:tcW w:type="dxa" w:w="3940"/>
          </w:tcPr>
          <w:p>
            <w:r>
              <w:rPr>
                <w:rFonts w:ascii="Calibri" w:hAnsi="Calibri" w:eastAsia="Microsoft YaHei"/>
                <w:b w:val="0"/>
                <w:color w:val="202D3C"/>
              </w:rPr>
              <w:t>向视频系统架构师、AI 视频平台负责人、XR/机器人视觉系统工程专家延展。</w:t>
            </w:r>
          </w:p>
        </w:tc>
        <w:tc>
          <w:tcPr>
            <w:tcW w:type="dxa" w:w="3820"/>
          </w:tcPr>
          <w:p>
            <w:r>
              <w:rPr>
                <w:rFonts w:ascii="Calibri" w:hAnsi="Calibri" w:eastAsia="Microsoft YaHei"/>
                <w:b w:val="0"/>
                <w:color w:val="202D3C"/>
              </w:rPr>
              <w:t>是否持续接触更有未来感的上层场景。</w:t>
            </w:r>
          </w:p>
        </w:tc>
      </w:tr>
    </w:tbl>
    <w:p/>
    <w:p>
      <w:pPr>
        <w:pStyle w:val="Heading1"/>
        <w:keepNext/>
        <w:spacing w:before="320" w:after="160"/>
      </w:pPr>
      <w:r>
        <w:rPr>
          <w:rFonts w:ascii="Calibri" w:hAnsi="Calibri" w:eastAsia="Microsoft YaHei"/>
          <w:b/>
          <w:color w:val="2E74B5"/>
        </w:rPr>
        <w:t>8. 风险和陷阱</w:t>
      </w:r>
    </w:p>
    <w:p>
      <w:pPr>
        <w:pStyle w:val="ListBullet"/>
        <w:spacing w:after="100" w:line="280" w:lineRule="auto"/>
        <w:ind w:left="720" w:hanging="360"/>
      </w:pPr>
      <w:r>
        <w:rPr>
          <w:rFonts w:ascii="Calibri" w:hAnsi="Calibri" w:eastAsia="Microsoft YaHei"/>
          <w:b w:val="0"/>
        </w:rPr>
        <w:t>长期停留在公司内部插件维护，能力不可迁移。</w:t>
      </w:r>
    </w:p>
    <w:p>
      <w:pPr>
        <w:pStyle w:val="ListBullet"/>
        <w:spacing w:after="100" w:line="280" w:lineRule="auto"/>
        <w:ind w:left="720" w:hanging="360"/>
      </w:pPr>
      <w:r>
        <w:rPr>
          <w:rFonts w:ascii="Calibri" w:hAnsi="Calibri" w:eastAsia="Microsoft YaHei"/>
          <w:b w:val="0"/>
        </w:rPr>
        <w:t>被吸入传统监控、运维和低质量项目，兴趣被消耗。</w:t>
      </w:r>
    </w:p>
    <w:p>
      <w:pPr>
        <w:pStyle w:val="ListBullet"/>
        <w:spacing w:after="100" w:line="280" w:lineRule="auto"/>
        <w:ind w:left="720" w:hanging="360"/>
      </w:pPr>
      <w:r>
        <w:rPr>
          <w:rFonts w:ascii="Calibri" w:hAnsi="Calibri" w:eastAsia="Microsoft YaHei"/>
          <w:b w:val="0"/>
        </w:rPr>
        <w:t>只写 C++ 业务代码，不补视频链路和 AI 推理，AI 时代竞争力会变弱。</w:t>
      </w:r>
    </w:p>
    <w:p>
      <w:pPr>
        <w:pStyle w:val="ListBullet"/>
        <w:spacing w:after="100" w:line="280" w:lineRule="auto"/>
        <w:ind w:left="720" w:hanging="360"/>
      </w:pPr>
      <w:r>
        <w:rPr>
          <w:rFonts w:ascii="Calibri" w:hAnsi="Calibri" w:eastAsia="Microsoft YaHei"/>
          <w:b w:val="0"/>
        </w:rPr>
        <w:t>当前团队工程水平不足，可能让你养成妥协习惯。</w:t>
      </w:r>
    </w:p>
    <w:p>
      <w:pPr>
        <w:pStyle w:val="Heading1"/>
        <w:keepNext/>
        <w:spacing w:before="320" w:after="160"/>
      </w:pPr>
      <w:r>
        <w:rPr>
          <w:rFonts w:ascii="Calibri" w:hAnsi="Calibri" w:eastAsia="Microsoft YaHei"/>
          <w:b/>
          <w:color w:val="2E74B5"/>
        </w:rPr>
        <w:t>9. 30 / 90 / 180 天验证计划</w:t>
      </w:r>
    </w:p>
    <w:tbl>
      <w:tblPr>
        <w:tblStyle w:val="TableGrid"/>
        <w:tblW w:type="dxa" w:w="9360"/>
        <w:jc w:val="center"/>
        <w:tblLook w:firstColumn="1" w:firstRow="1" w:lastColumn="0" w:lastRow="0" w:noHBand="0" w:noVBand="1" w:val="04A0"/>
        <w:tblInd w:w="120" w:type="dxa"/>
      </w:tblPr>
      <w:tblGrid>
        <w:gridCol w:w="1600"/>
        <w:gridCol w:w="3920"/>
        <w:gridCol w:w="3840"/>
      </w:tblGrid>
      <w:tr>
        <w:tc>
          <w:tcPr>
            <w:tcW w:type="dxa" w:w="1600"/>
            <w:vAlign w:val="center"/>
            <w:shd w:fill="F2F4F7"/>
          </w:tcPr>
          <w:p>
            <w:r>
              <w:rPr>
                <w:rFonts w:ascii="Calibri" w:hAnsi="Calibri" w:eastAsia="Microsoft YaHei"/>
                <w:b/>
                <w:color w:val="202D3C"/>
              </w:rPr>
              <w:t>阶段</w:t>
            </w:r>
          </w:p>
        </w:tc>
        <w:tc>
          <w:tcPr>
            <w:tcW w:type="dxa" w:w="3920"/>
            <w:vAlign w:val="center"/>
            <w:shd w:fill="F2F4F7"/>
          </w:tcPr>
          <w:p>
            <w:r>
              <w:rPr>
                <w:rFonts w:ascii="Calibri" w:hAnsi="Calibri" w:eastAsia="Microsoft YaHei"/>
                <w:b/>
                <w:color w:val="202D3C"/>
              </w:rPr>
              <w:t>验证动作</w:t>
            </w:r>
          </w:p>
        </w:tc>
        <w:tc>
          <w:tcPr>
            <w:tcW w:type="dxa" w:w="3840"/>
            <w:vAlign w:val="center"/>
            <w:shd w:fill="F2F4F7"/>
          </w:tcPr>
          <w:p>
            <w:r>
              <w:rPr>
                <w:rFonts w:ascii="Calibri" w:hAnsi="Calibri" w:eastAsia="Microsoft YaHei"/>
                <w:b/>
                <w:color w:val="202D3C"/>
              </w:rPr>
              <w:t>通过信号</w:t>
            </w:r>
          </w:p>
        </w:tc>
      </w:tr>
      <w:tr>
        <w:tc>
          <w:tcPr>
            <w:tcW w:type="dxa" w:w="1600"/>
          </w:tcPr>
          <w:p>
            <w:r>
              <w:rPr>
                <w:rFonts w:ascii="Calibri" w:hAnsi="Calibri" w:eastAsia="Microsoft YaHei"/>
                <w:b/>
                <w:color w:val="202D3C"/>
              </w:rPr>
              <w:t>30 天</w:t>
            </w:r>
          </w:p>
        </w:tc>
        <w:tc>
          <w:tcPr>
            <w:tcW w:type="dxa" w:w="3920"/>
          </w:tcPr>
          <w:p>
            <w:r>
              <w:rPr>
                <w:rFonts w:ascii="Calibri" w:hAnsi="Calibri" w:eastAsia="Microsoft YaHei"/>
                <w:b w:val="0"/>
                <w:color w:val="202D3C"/>
              </w:rPr>
              <w:t>整理当前视频插件架构，补一篇 FFmpeg/GStreamer/OpenCV 之一的英文技术笔记。</w:t>
            </w:r>
          </w:p>
        </w:tc>
        <w:tc>
          <w:tcPr>
            <w:tcW w:type="dxa" w:w="3840"/>
          </w:tcPr>
          <w:p>
            <w:r>
              <w:rPr>
                <w:rFonts w:ascii="Calibri" w:hAnsi="Calibri" w:eastAsia="Microsoft YaHei"/>
                <w:b w:val="0"/>
                <w:color w:val="202D3C"/>
              </w:rPr>
              <w:t>你能把工作经验抽象成可迁移知识。</w:t>
            </w:r>
          </w:p>
        </w:tc>
      </w:tr>
      <w:tr>
        <w:tc>
          <w:tcPr>
            <w:tcW w:type="dxa" w:w="1600"/>
          </w:tcPr>
          <w:p>
            <w:r>
              <w:rPr>
                <w:rFonts w:ascii="Calibri" w:hAnsi="Calibri" w:eastAsia="Microsoft YaHei"/>
                <w:b/>
                <w:color w:val="202D3C"/>
              </w:rPr>
              <w:t>90 天</w:t>
            </w:r>
          </w:p>
        </w:tc>
        <w:tc>
          <w:tcPr>
            <w:tcW w:type="dxa" w:w="3920"/>
          </w:tcPr>
          <w:p>
            <w:r>
              <w:rPr>
                <w:rFonts w:ascii="Calibri" w:hAnsi="Calibri" w:eastAsia="Microsoft YaHei"/>
                <w:b w:val="0"/>
                <w:color w:val="202D3C"/>
              </w:rPr>
              <w:t>做一个本地视频 AI Demo：读取视频流，做检测/分割/摘要/质量分析，再输出结果。</w:t>
            </w:r>
          </w:p>
        </w:tc>
        <w:tc>
          <w:tcPr>
            <w:tcW w:type="dxa" w:w="3840"/>
          </w:tcPr>
          <w:p>
            <w:r>
              <w:rPr>
                <w:rFonts w:ascii="Calibri" w:hAnsi="Calibri" w:eastAsia="Microsoft YaHei"/>
                <w:b w:val="0"/>
                <w:color w:val="202D3C"/>
              </w:rPr>
              <w:t>你能把视频系统和 AI 能力串起来。</w:t>
            </w:r>
          </w:p>
        </w:tc>
      </w:tr>
      <w:tr>
        <w:tc>
          <w:tcPr>
            <w:tcW w:type="dxa" w:w="1600"/>
          </w:tcPr>
          <w:p>
            <w:r>
              <w:rPr>
                <w:rFonts w:ascii="Calibri" w:hAnsi="Calibri" w:eastAsia="Microsoft YaHei"/>
                <w:b/>
                <w:color w:val="202D3C"/>
              </w:rPr>
              <w:t>180 天</w:t>
            </w:r>
          </w:p>
        </w:tc>
        <w:tc>
          <w:tcPr>
            <w:tcW w:type="dxa" w:w="3920"/>
          </w:tcPr>
          <w:p>
            <w:r>
              <w:rPr>
                <w:rFonts w:ascii="Calibri" w:hAnsi="Calibri" w:eastAsia="Microsoft YaHei"/>
                <w:b w:val="0"/>
                <w:color w:val="202D3C"/>
              </w:rPr>
              <w:t>完成一个可展示项目和简历重写，调研成都音视频/数字文创/机器人/智慧城市岗位。</w:t>
            </w:r>
          </w:p>
        </w:tc>
        <w:tc>
          <w:tcPr>
            <w:tcW w:type="dxa" w:w="3840"/>
          </w:tcPr>
          <w:p>
            <w:r>
              <w:rPr>
                <w:rFonts w:ascii="Calibri" w:hAnsi="Calibri" w:eastAsia="Microsoft YaHei"/>
                <w:b w:val="0"/>
                <w:color w:val="202D3C"/>
              </w:rPr>
              <w:t>这条路能支撑 20k 成都目标并保留未来分叉。</w:t>
            </w:r>
          </w:p>
        </w:tc>
      </w:tr>
    </w:tbl>
    <w:p/>
    <w:p>
      <w:pPr>
        <w:pStyle w:val="Heading1"/>
        <w:keepNext/>
        <w:spacing w:before="320" w:after="160"/>
      </w:pPr>
      <w:r>
        <w:rPr>
          <w:rFonts w:ascii="Calibri" w:hAnsi="Calibri" w:eastAsia="Microsoft YaHei"/>
          <w:b/>
          <w:color w:val="2E74B5"/>
        </w:rPr>
        <w:t>10. 决策信号</w:t>
      </w:r>
    </w:p>
    <w:p>
      <w:pPr>
        <w:pStyle w:val="ListBullet"/>
        <w:spacing w:after="100" w:line="280" w:lineRule="auto"/>
        <w:ind w:left="720" w:hanging="360"/>
      </w:pPr>
      <w:r>
        <w:rPr>
          <w:rFonts w:ascii="Calibri" w:hAnsi="Calibri" w:eastAsia="Microsoft YaHei"/>
          <w:b w:val="0"/>
        </w:rPr>
        <w:t>增强信号：你能在现有工作中主动抽象架构和工具，产生作品。</w:t>
      </w:r>
    </w:p>
    <w:p>
      <w:pPr>
        <w:pStyle w:val="ListBullet"/>
        <w:spacing w:after="100" w:line="280" w:lineRule="auto"/>
        <w:ind w:left="720" w:hanging="360"/>
      </w:pPr>
      <w:r>
        <w:rPr>
          <w:rFonts w:ascii="Calibri" w:hAnsi="Calibri" w:eastAsia="Microsoft YaHei"/>
          <w:b w:val="0"/>
        </w:rPr>
        <w:t>削弱信号：你发现自己对视频底层完全无兴趣，只想做更上层产品或 AI 应用。</w:t>
      </w:r>
    </w:p>
    <w:p>
      <w:pPr>
        <w:pStyle w:val="ListBullet"/>
        <w:spacing w:after="100" w:line="280" w:lineRule="auto"/>
        <w:ind w:left="720" w:hanging="360"/>
      </w:pPr>
      <w:r>
        <w:rPr>
          <w:rFonts w:ascii="Calibri" w:hAnsi="Calibri" w:eastAsia="Microsoft YaHei"/>
          <w:b w:val="0"/>
        </w:rPr>
        <w:t>策略建议：作为短中期主线最稳，配合 XR/机器人/Agent 作为兴趣分叉。</w:t>
      </w:r>
    </w:p>
    <w:p>
      <w:pPr>
        <w:pStyle w:val="Heading1"/>
        <w:keepNext/>
        <w:spacing w:before="320" w:after="160"/>
      </w:pPr>
      <w:r>
        <w:rPr>
          <w:rFonts w:ascii="Calibri" w:hAnsi="Calibri" w:eastAsia="Microsoft YaHei"/>
          <w:b/>
          <w:color w:val="2E74B5"/>
        </w:rPr>
        <w:t>资料依据</w:t>
      </w:r>
    </w:p>
    <w:p>
      <w:pPr>
        <w:pStyle w:val="ListBullet"/>
        <w:spacing w:after="100" w:line="280" w:lineRule="auto"/>
        <w:ind w:left="720" w:hanging="360"/>
      </w:pPr>
      <w:r>
        <w:rPr>
          <w:rFonts w:ascii="Calibri" w:hAnsi="Calibri" w:eastAsia="Microsoft YaHei"/>
          <w:b w:val="0"/>
        </w:rPr>
        <w:t>WEF《The Future of Jobs Report 2025》：技术变化、AI、技能重塑会持续影响 2025-2030 年劳动力市场。https://www.weforum.org/publications/the-future-of-jobs-report-2025/</w:t>
      </w:r>
    </w:p>
    <w:p>
      <w:pPr>
        <w:pStyle w:val="ListBullet"/>
        <w:spacing w:after="100" w:line="280" w:lineRule="auto"/>
        <w:ind w:left="720" w:hanging="360"/>
      </w:pPr>
      <w:r>
        <w:rPr>
          <w:rFonts w:ascii="Calibri" w:hAnsi="Calibri" w:eastAsia="Microsoft YaHei"/>
          <w:b w:val="0"/>
        </w:rPr>
        <w:t>BLS Occupational Outlook Handbook：软件开发、质量保障与测试岗位 2024-2034 年预计增长 15%，但传统 Computer Programmer 岗位预计下降 6%，重复编码任务受自动化影响更明显。https://www.bls.gov/ooh/computer-and-information-technology/software-developers.htm</w:t>
      </w:r>
    </w:p>
    <w:p>
      <w:pPr>
        <w:pStyle w:val="ListBullet"/>
        <w:spacing w:after="100" w:line="280" w:lineRule="auto"/>
        <w:ind w:left="720" w:hanging="360"/>
      </w:pPr>
      <w:r>
        <w:rPr>
          <w:rFonts w:ascii="Calibri" w:hAnsi="Calibri" w:eastAsia="Microsoft YaHei"/>
          <w:b w:val="0"/>
        </w:rPr>
        <w:t>GitHub Octoverse 2024：生成式 AI 项目、Python、Jupyter Notebook、AI agent 和小模型生态快速增长，说明 AI 原生开发正在变成软件工程的一部分。https://github.blog/news-insights/octoverse/octoverse-2024/</w:t>
      </w:r>
    </w:p>
    <w:p>
      <w:pPr>
        <w:pStyle w:val="ListBullet"/>
        <w:spacing w:after="100" w:line="280" w:lineRule="auto"/>
        <w:ind w:left="720" w:hanging="360"/>
      </w:pPr>
      <w:r>
        <w:rPr>
          <w:rFonts w:ascii="Calibri" w:hAnsi="Calibri" w:eastAsia="Microsoft YaHei"/>
          <w:b w:val="0"/>
        </w:rPr>
        <w:t>四川省人民政府网站：成都元宇宙行动方案提出 2025 年相关产业规模目标 1500 亿元；成都具身智能、机器人、AI 实景验证和数字文创场景正在扩展。https://www.sc.gov.cn/10462/10464/10465/10595/2023/1/4/fdcc2f41865a4202a332d2903b500098.shtml</w:t>
      </w:r>
    </w:p>
    <w:p>
      <w:pPr>
        <w:pStyle w:val="ListBullet"/>
        <w:spacing w:after="100" w:line="280" w:lineRule="auto"/>
        <w:ind w:left="720" w:hanging="360"/>
      </w:pPr>
      <w:r>
        <w:rPr>
          <w:rFonts w:ascii="Calibri" w:hAnsi="Calibri" w:eastAsia="Microsoft YaHei"/>
          <w:b w:val="0"/>
        </w:rPr>
        <w:t>教育部等五部门《关于进一步做好非全日制研究生就业工作的通知》：全日制和非全日制研究生学历学位证书具有同等法律地位和相同效力，但具体报考仍需以岗位公告为准。https://www.moe.gov.cn/srcsite/A22/s7065/202002/t20200214_421068.html</w:t>
      </w:r>
    </w:p>
    <w:tbl>
      <w:tblPr>
        <w:tblStyle w:val="TableGrid"/>
        <w:tblW w:type="dxa" w:w="9360"/>
        <w:jc w:val="center"/>
        <w:tblLook w:firstColumn="1" w:firstRow="1" w:lastColumn="0" w:lastRow="0" w:noHBand="0" w:noVBand="1" w:val="04A0"/>
        <w:tblInd w:w="120" w:type="dxa"/>
      </w:tblPr>
      <w:tblGrid>
        <w:gridCol w:w="9360"/>
      </w:tblGrid>
      <w:tr>
        <w:tc>
          <w:tcPr>
            <w:tcW w:type="dxa" w:w="9360"/>
            <w:vAlign w:val="center"/>
            <w:shd w:fill="E8EEF5"/>
          </w:tcPr>
          <w:p>
            <w:pPr>
              <w:spacing w:after="80"/>
            </w:pPr>
            <w:r>
              <w:rPr>
                <w:rFonts w:ascii="Calibri" w:hAnsi="Calibri" w:eastAsia="Microsoft YaHei"/>
                <w:b/>
                <w:color w:val="1F4D78"/>
              </w:rPr>
              <w:t>使用建议</w:t>
            </w:r>
            <w:r>
              <w:rPr>
                <w:rFonts w:ascii="Calibri" w:hAnsi="Calibri" w:eastAsia="Microsoft YaHei"/>
                <w:color w:val="202D3C"/>
              </w:rPr>
              <w:t>：先把这份报告当作路线地图，不要把它当成结论。下一步应选择 1-2 条最有兴趣的路径做 30 天验证，用真实产出和情绪反馈修正判断。</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Microsoft YaHei"/>
        <w:color w:val="5C6874"/>
        <w:sz w:val="18"/>
      </w:rPr>
      <w:t>Personal Planning Decision Report | 2026-05-22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Microsoft YaHei"/>
        <w:color w:val="5C6874"/>
        <w:sz w:val="18"/>
      </w:rPr>
      <w:t>C++ Video Media AI Path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color w:val="202D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Microsoft YaHei"/>
      <w:b/>
      <w:color w:val="2E74B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Microsoft YaHei"/>
      <w:b w:val="0"/>
      <w:i/>
      <w:iCs/>
      <w:color w:val="5C687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0" w:lineRule="auto"/>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0" w:lineRule="auto"/>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