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r>
        <w:rPr>
          <w:rFonts w:ascii="Microsoft YaHei" w:hAnsi="Microsoft YaHei" w:eastAsia="Microsoft YaHei"/>
          <w:color w:val="196036"/>
          <w:sz w:val="20"/>
        </w:rPr>
        <w:t>Paper Evidence Note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Microsoft YaHei" w:hAnsi="Microsoft YaHei" w:eastAsia="Microsoft YaHei"/>
          <w:b/>
          <w:color w:val="196036"/>
          <w:sz w:val="54"/>
        </w:rPr>
        <w:t>MVTec AD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Microsoft YaHei" w:hAnsi="Microsoft YaHei" w:eastAsia="Microsoft YaHei"/>
          <w:b/>
          <w:color w:val="196036"/>
          <w:sz w:val="38"/>
        </w:rPr>
        <w:t>CVPR 2019 · 数据集与初始基准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r>
        <w:rPr>
          <w:rFonts w:ascii="Microsoft YaHei" w:hAnsi="Microsoft YaHei" w:eastAsia="Microsoft YaHei"/>
          <w:color w:val="4D5550"/>
          <w:sz w:val="20"/>
        </w:rPr>
        <w:t>工业异常检测数据集 · 论文速读</w:t>
      </w:r>
    </w:p>
    <w:p w14:paraId="00000019">
      <w:pPr>
        <w:pStyle w:val="Heading3"/>
        <w:rPr>
          <w:color w:val="000000"/>
        </w:rPr>
      </w:pPr>
      <w:r>
        <w:rPr>
          <w:rFonts w:ascii="Microsoft YaHei" w:hAnsi="Microsoft YaHei" w:eastAsia="Microsoft YaHei"/>
          <w:color w:val="4D5550"/>
          <w:sz w:val="20"/>
        </w:rPr>
        <w:t>2026 年 9 月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一句话回答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/>
          <w:sz w:val="19"/>
        </w:rPr>
        <w:t>论文的基准分数来自 MVTec AD 的 15 个类别：各类别只用无缺陷图像训练、用含正常和缺陷图像的固定测试集评估；图像级看正常/异常各自的正确分类比例，像素级看区域重叠与 ROC AUC。不同表格的数值不能当成同一个“准确率”。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训练数据、测试划分与指标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1D9"/>
          <w:left w:val="single" w:sz="4" w:color="D7E1D9"/>
          <w:bottom w:val="single" w:sz="4" w:color="D7E1D9"/>
          <w:right w:val="single" w:sz="4" w:color="D7E1D9"/>
          <w:insideH w:val="single" w:sz="4" w:color="D7E1D9"/>
          <w:insideV w:val="single" w:sz="4" w:color="D7E1D9"/>
        </w:tblBorders>
      </w:tblPr>
      <w:tblGrid>
        <w:gridCol w:w="4680"/>
        <w:gridCol w:w="4680"/>
      </w:tblGrid>
      <w:tr>
        <w:tc>
          <w:tcPr>
            <w:tcW w:type="dxa" w:w="1757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核对项</w:t>
            </w:r>
          </w:p>
        </w:tc>
        <w:tc>
          <w:tcPr>
            <w:tcW w:type="dxa" w:w="7030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论文中的实验条件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数据规模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 类（5 类纹理、10 类物体），共 5,354 张图；73 种缺陷，1,888 个标注缺陷区域。</w:t>
            </w:r>
          </w:p>
        </w:tc>
      </w:tr>
      <w:tr>
        <w:tc>
          <w:tcPr>
            <w:tcW w:type="dxa" w:w="1757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训练/验证</w:t>
            </w:r>
          </w:p>
        </w:tc>
        <w:tc>
          <w:tcPr>
            <w:tcW w:type="dxa" w:w="7030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3,629 张无缺陷图像构成训练与验证来源；验证图从训练集随机留出，仅用正常样本估计异常阈值。论文未给统一的留出比例。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测试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1,725 张：467 张正常、1,258 张缺陷；缺陷图有像素级真值掩码。按 15 个类别分别报告结果。</w:t>
            </w:r>
          </w:p>
        </w:tc>
      </w:tr>
      <w:tr>
        <w:tc>
          <w:tcPr>
            <w:tcW w:type="dxa" w:w="1757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图像级指标</w:t>
            </w:r>
          </w:p>
        </w:tc>
        <w:tc>
          <w:tcPr>
            <w:tcW w:type="dxa" w:w="7030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表 2：在选定阈值下，分别报告正常测试图和缺陷测试图的正确分类比例（两行）；不是图像级 AUROC。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像素级指标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表 3：每个真实缺陷区域的相对重叠（上行，依赖阈值）与像素级 ROC AUC（下行，扫阈值）。</w:t>
            </w:r>
          </w:p>
        </w:tc>
      </w:tr>
    </w:tbl>
    <w:p>
      <w:pPr>
        <w:spacing w:after="0"/>
      </w:pP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怎样读一个具体成绩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例如 Bottle 类的 SSIM 自编码器：表 2 的正常/缺陷正确分类比例分别为 0.85 / 0.90；表 3 的区域重叠为 0.15、像素级 ROC AUC 为 0.93。这里的高 AUC 不代表选定阈值下的定位效果同样好。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方法与解释边界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论文比较 AnoGAN、L2/SSIM 自编码器、ImageNet 预训练 ResNet-18 特征字典、GMM 纹理检测和变化模型。它们共享数据集，但输入尺度、训练图数量及增强并不完全相同；例如传统纹理法取 10 张正常图、变化模型取 30 张，而深度方法使用数据增强。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阈值由正常验证图及最小缺陷面积规则决定，没有用异常训练样本调阈。论文结论是方法表现随类别变化，不能把某个类别或单一指标的最好数值概括为整套数据的水平。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复现时先核对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确认类别级训练/测试目录、验证留出方式、缺陷最小面积、图像缩放和输出热图分辨率；报告表 2 时保持正常/异常两项分开，报告表 3 时同时给出阈值相关重叠与阈值无关 AUC。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color w:val="4D5550"/>
          <w:sz w:val="19"/>
        </w:rPr>
        <w:t>来源：Bergmann et al., CVPR 2019，本地 PDF；数据与划分见 §3/表 1（PDF 第 4–5 页），阈值与指标见 §4.3（第 6–7 页），示例分数见表 2–3（第 6–7 页）。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MVTec AD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