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2"/>
        <w:rPr>
          <w:color w:val="1a703a"/>
        </w:rPr>
      </w:pPr>
      <w:r>
        <w:rPr>
          <w:rFonts w:ascii="Microsoft YaHei" w:hAnsi="Microsoft YaHei" w:eastAsia="Microsoft YaHei"/>
          <w:color w:val="196036"/>
          <w:sz w:val="20"/>
        </w:rPr>
        <w:t>Paper Evidence Note</w:t>
      </w:r>
    </w:p>
    <w:p w14:paraId="00000002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3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4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60250" y="3527350"/>
                          <a:ext cx="2563200" cy="33900"/>
                        </a:xfrm>
                        <a:prstGeom prst="rect">
                          <a:avLst/>
                        </a:prstGeom>
                        <a:solidFill>
                          <a:srgbClr val="1A703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164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6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7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Microsoft YaHei" w:hAnsi="Microsoft YaHei" w:eastAsia="Microsoft YaHei"/>
          <w:b/>
          <w:color w:val="196036"/>
          <w:sz w:val="54"/>
        </w:rPr>
        <w:t>MVTec AD</w:t>
      </w:r>
    </w:p>
    <w:p w14:paraId="00000008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Microsoft YaHei" w:hAnsi="Microsoft YaHei" w:eastAsia="Microsoft YaHei"/>
          <w:b/>
          <w:color w:val="196036"/>
          <w:sz w:val="38"/>
        </w:rPr>
        <w:t>IJCV 2021 · 扩展基准与指标分析</w:t>
      </w:r>
    </w:p>
    <w:p w14:paraId="00000009">
      <w:pPr>
        <w:pStyle w:val="Heading3"/>
        <w:rPr>
          <w:color w:val="105128"/>
        </w:rPr>
      </w:pPr>
      <w:bookmarkStart w:colFirst="0" w:colLast="0" w:name="_heading=h.vj0y3v9ru4fn" w:id="1"/>
      <w:bookmarkEnd w:id="1"/>
      <w:r>
        <w:rPr>
          <w:rtl w:val="0"/>
        </w:rPr>
      </w:r>
    </w:p>
    <w:p w14:paraId="0000000A">
      <w:pPr>
        <w:pStyle w:val="Heading3"/>
        <w:rPr>
          <w:color w:val="105128"/>
        </w:rPr>
      </w:pPr>
      <w:bookmarkStart w:colFirst="0" w:colLast="0" w:name="_heading=h.r64a6lc0ytip" w:id="2"/>
      <w:bookmarkEnd w:id="2"/>
      <w:r>
        <w:rPr>
          <w:rtl w:val="0"/>
        </w:rPr>
      </w:r>
    </w:p>
    <w:p w14:paraId="0000000B">
      <w:pPr>
        <w:pStyle w:val="Heading3"/>
        <w:rPr>
          <w:color w:val="105128"/>
        </w:rPr>
      </w:pPr>
      <w:bookmarkStart w:colFirst="0" w:colLast="0" w:name="_heading=h.8n89tlutz5i6" w:id="3"/>
      <w:bookmarkEnd w:id="3"/>
      <w:r>
        <w:rPr>
          <w:rtl w:val="0"/>
        </w:rPr>
      </w:r>
    </w:p>
    <w:p w14:paraId="0000000C">
      <w:pPr>
        <w:pStyle w:val="Heading3"/>
        <w:rPr>
          <w:color w:val="053b22"/>
        </w:rPr>
      </w:pPr>
      <w:bookmarkStart w:colFirst="0" w:colLast="0" w:name="_heading=h.rnjlnh61vquq" w:id="4"/>
      <w:bookmarkEnd w:id="4"/>
      <w:r>
        <w:rPr>
          <w:rtl w:val="0"/>
        </w:rPr>
      </w:r>
    </w:p>
    <w:p w14:paraId="0000000D">
      <w:pPr>
        <w:rPr>
          <w:color w:val="002715"/>
        </w:rPr>
      </w:pPr>
      <w:r>
        <w:rPr>
          <w:rtl w:val="0"/>
        </w:rPr>
      </w:r>
    </w:p>
    <w:p w14:paraId="0000000E">
      <w:pPr>
        <w:rPr>
          <w:color w:val="002715"/>
        </w:rPr>
      </w:pPr>
      <w:r>
        <w:rPr>
          <w:rtl w:val="0"/>
        </w:rPr>
      </w:r>
    </w:p>
    <w:p w14:paraId="0000000F">
      <w:pPr>
        <w:rPr>
          <w:color w:val="002715"/>
        </w:rPr>
      </w:pPr>
      <w:r>
        <w:rPr>
          <w:rtl w:val="0"/>
        </w:rPr>
      </w:r>
    </w:p>
    <w:p w14:paraId="00000010">
      <w:pPr>
        <w:rPr>
          <w:color w:val="002715"/>
        </w:rPr>
      </w:pPr>
      <w:r>
        <w:rPr>
          <w:rtl w:val="0"/>
        </w:rPr>
      </w:r>
    </w:p>
    <w:p w14:paraId="00000011">
      <w:pPr>
        <w:rPr>
          <w:color w:val="002715"/>
        </w:rPr>
      </w:pPr>
      <w:r>
        <w:rPr>
          <w:rtl w:val="0"/>
        </w:rPr>
      </w:r>
    </w:p>
    <w:p w14:paraId="00000012">
      <w:pPr>
        <w:rPr>
          <w:color w:val="002715"/>
        </w:rPr>
      </w:pPr>
      <w:r>
        <w:rPr>
          <w:rtl w:val="0"/>
        </w:rPr>
      </w:r>
    </w:p>
    <w:p w14:paraId="00000013">
      <w:pPr>
        <w:rPr>
          <w:color w:val="002715"/>
        </w:rPr>
      </w:pPr>
      <w:r>
        <w:rPr>
          <w:rtl w:val="0"/>
        </w:rPr>
      </w:r>
    </w:p>
    <w:p w14:paraId="00000014">
      <w:pPr>
        <w:rPr>
          <w:color w:val="002715"/>
        </w:rPr>
      </w:pPr>
      <w:r>
        <w:rPr>
          <w:rtl w:val="0"/>
        </w:rPr>
      </w:r>
    </w:p>
    <w:p w14:paraId="00000015">
      <w:pPr>
        <w:rPr>
          <w:color w:val="002715"/>
        </w:rPr>
      </w:pPr>
      <w:r>
        <w:rPr>
          <w:rtl w:val="0"/>
        </w:rPr>
      </w:r>
    </w:p>
    <w:p w14:paraId="00000016">
      <w:pPr>
        <w:rPr>
          <w:color w:val="002715"/>
        </w:rPr>
      </w:pPr>
      <w:r>
        <w:rPr>
          <w:rtl w:val="0"/>
        </w:rPr>
      </w:r>
    </w:p>
    <w:p w14:paraId="00000017">
      <w:pPr>
        <w:rPr>
          <w:color w:val="434343"/>
        </w:rPr>
      </w:pPr>
      <w:r>
        <w:rPr>
          <w:rtl w:val="0"/>
        </w:rPr>
      </w:r>
    </w:p>
    <w:p w14:paraId="00000018">
      <w:pPr>
        <w:pStyle w:val="Heading3"/>
        <w:rPr>
          <w:color w:val="000000"/>
        </w:rPr>
      </w:pPr>
      <w:r>
        <w:rPr>
          <w:rFonts w:ascii="Microsoft YaHei" w:hAnsi="Microsoft YaHei" w:eastAsia="Microsoft YaHei"/>
          <w:color w:val="4D5550"/>
          <w:sz w:val="20"/>
        </w:rPr>
        <w:t>工业异常检测数据集 · 论文速读</w:t>
      </w:r>
    </w:p>
    <w:p w14:paraId="00000019">
      <w:pPr>
        <w:pStyle w:val="Heading3"/>
        <w:rPr>
          <w:color w:val="000000"/>
        </w:rPr>
      </w:pPr>
      <w:r>
        <w:rPr>
          <w:rFonts w:ascii="Microsoft YaHei" w:hAnsi="Microsoft YaHei" w:eastAsia="Microsoft YaHei"/>
          <w:color w:val="4D5550"/>
          <w:sz w:val="20"/>
        </w:rPr>
        <w:t>2026 年 9 月</w:t>
      </w:r>
    </w:p>
    <w:p w14:paraId="0000001A">
      <w:pPr>
        <w:pStyle w:val="Heading3"/>
        <w:rPr>
          <w:color w:val="000000"/>
        </w:rPr>
      </w:pPr>
      <w:bookmarkStart w:colFirst="0" w:colLast="0" w:name="_heading=h.l0z5dez015hw" w:id="7"/>
      <w:bookmarkEnd w:id="7"/>
      <w:r>
        <w:br w:type="page"/>
      </w:r>
      <w:r>
        <w:rPr>
          <w:rtl w:val="0"/>
        </w:rPr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196036"/>
          <w:sz w:val="26"/>
        </w:rPr>
        <w:t>一句话回答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b/>
          <w:sz w:val="19"/>
        </w:rPr>
        <w:t>2021 年论文仍使用原版 MVTec AD 的同一 15 类训练/测试数据；每类无缺陷训练图再随机留出 10% 作正常验证集。文中代表性“0.599”是 Student–Teacher 在 15 类上的平均像素级 AU-PR，不是图像级准确率，也不是新增数据集的成绩。</w:t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196036"/>
          <w:sz w:val="26"/>
        </w:rPr>
        <w:t>训练数据、测试划分与指标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1D9"/>
          <w:left w:val="single" w:sz="4" w:color="D7E1D9"/>
          <w:bottom w:val="single" w:sz="4" w:color="D7E1D9"/>
          <w:right w:val="single" w:sz="4" w:color="D7E1D9"/>
          <w:insideH w:val="single" w:sz="4" w:color="D7E1D9"/>
          <w:insideV w:val="single" w:sz="4" w:color="D7E1D9"/>
        </w:tblBorders>
      </w:tblPr>
      <w:tblGrid>
        <w:gridCol w:w="4680"/>
        <w:gridCol w:w="4680"/>
      </w:tblGrid>
      <w:tr>
        <w:tc>
          <w:tcPr>
            <w:tcW w:type="dxa" w:w="1757"/>
            <w:vAlign w:val="center"/>
            <w:shd w:fill="EAF2EC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/>
                <w:color w:val="196036"/>
                <w:sz w:val="16"/>
              </w:rPr>
              <w:t>核对项</w:t>
            </w:r>
          </w:p>
        </w:tc>
        <w:tc>
          <w:tcPr>
            <w:tcW w:type="dxa" w:w="7030"/>
            <w:vAlign w:val="center"/>
            <w:shd w:fill="EAF2EC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/>
                <w:color w:val="196036"/>
                <w:sz w:val="16"/>
              </w:rPr>
              <w:t>论文中的实验条件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数据/测试</w:t>
            </w:r>
          </w:p>
        </w:tc>
        <w:tc>
          <w:tcPr>
            <w:tcW w:type="dxa" w:w="703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原版 MVTec AD：3,629 张无缺陷训练/验证图；固定测试集 467 张正常图 + 1,258 张缺陷图；15 类、像素级缺陷掩码。</w:t>
            </w:r>
          </w:p>
        </w:tc>
      </w:tr>
      <w:tr>
        <w:tc>
          <w:tcPr>
            <w:tcW w:type="dxa" w:w="1757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验证集</w:t>
            </w:r>
          </w:p>
        </w:tc>
        <w:tc>
          <w:tcPr>
            <w:tcW w:type="dxa" w:w="7030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每类从原始正常训练图中随机留出 10%；所有比较方法共用同一验证集，用于正常样本上的阈值估计。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训练前提</w:t>
            </w:r>
          </w:p>
        </w:tc>
        <w:tc>
          <w:tcPr>
            <w:tcW w:type="dxa" w:w="703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异常检测阶段不使用缺陷训练图；但特征字典和 Student–Teacher 等方法使用 ImageNet 预训练特征，因此并非“完全不借助外部数据”。</w:t>
            </w:r>
          </w:p>
        </w:tc>
      </w:tr>
      <w:tr>
        <w:tc>
          <w:tcPr>
            <w:tcW w:type="dxa" w:w="1757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主要指标</w:t>
            </w:r>
          </w:p>
        </w:tc>
        <w:tc>
          <w:tcPr>
            <w:tcW w:type="dxa" w:w="7030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像素级 AU-PR、AU-ROC、AU-PRO、AU-IoU；表 3 中 ROC/PRO/IoU 曲线积分限制在 FPR≤0.30 并归一化，PR 使用全曲线。另比较 FPR≤0.01/0.05 等范围。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阈值分析</w:t>
            </w:r>
          </w:p>
        </w:tc>
        <w:tc>
          <w:tcPr>
            <w:tcW w:type="dxa" w:w="703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分别考察 Maximum、p-Quantile、k-Sigma、Max-Area 等仅用正常验证图的阈值方法；曲线面积指标与选定阈值后的结果须区分。</w:t>
            </w:r>
          </w:p>
        </w:tc>
      </w:tr>
    </w:tbl>
    <w:p>
      <w:pPr>
        <w:spacing w:after="0"/>
      </w:pP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196036"/>
          <w:sz w:val="26"/>
        </w:rPr>
        <w:t>怎样读一个具体成绩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b w:val="0"/>
          <w:sz w:val="19"/>
        </w:rPr>
        <w:t>表 2：Student–Teacher 的平均像素级 AU-PR = 0.599（15 类的类别均值）；表 3：其 AU-PRO = 0.924，条件是 FPR 从 0 积分到 0.30 并归一化后再跨类别平均。两者衡量不同问题，不能直接说“92.4% 检出率”。</w:t>
      </w:r>
    </w:p>
    <w:p>
      <w:pPr>
        <w:pStyle w:val="Heading1"/>
        <w:spacing w:before="260" w:after="100"/>
      </w:pPr>
      <w:r>
        <w:rPr>
          <w:rFonts w:ascii="Microsoft YaHei" w:hAnsi="Microsoft YaHei" w:eastAsia="Microsoft YaHei"/>
          <w:b/>
          <w:color w:val="196036"/>
          <w:sz w:val="26"/>
        </w:rPr>
        <w:t>与 CVPR 2019 论文的区别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1D9"/>
          <w:left w:val="single" w:sz="4" w:color="D7E1D9"/>
          <w:bottom w:val="single" w:sz="4" w:color="D7E1D9"/>
          <w:right w:val="single" w:sz="4" w:color="D7E1D9"/>
          <w:insideH w:val="single" w:sz="4" w:color="D7E1D9"/>
          <w:insideV w:val="single" w:sz="4" w:color="D7E1D9"/>
        </w:tblBorders>
      </w:tblPr>
      <w:tblGrid>
        <w:gridCol w:w="3120"/>
        <w:gridCol w:w="3120"/>
        <w:gridCol w:w="3120"/>
      </w:tblGrid>
      <w:tr>
        <w:tc>
          <w:tcPr>
            <w:tcW w:type="dxa" w:w="1304"/>
            <w:vAlign w:val="center"/>
            <w:shd w:fill="EAF2EC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/>
                <w:color w:val="196036"/>
                <w:sz w:val="16"/>
              </w:rPr>
              <w:t>维度</w:t>
            </w:r>
          </w:p>
        </w:tc>
        <w:tc>
          <w:tcPr>
            <w:tcW w:type="dxa" w:w="3742"/>
            <w:vAlign w:val="center"/>
            <w:shd w:fill="EAF2EC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/>
                <w:color w:val="196036"/>
                <w:sz w:val="16"/>
              </w:rPr>
              <w:t>CVPR 2019</w:t>
            </w:r>
          </w:p>
        </w:tc>
        <w:tc>
          <w:tcPr>
            <w:tcW w:type="dxa" w:w="3742"/>
            <w:vAlign w:val="center"/>
            <w:shd w:fill="EAF2EC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/>
                <w:color w:val="196036"/>
                <w:sz w:val="16"/>
              </w:rPr>
              <w:t>IJCV 2021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首次发布原版数据与初始基准。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沿用同一数据与测试集；不是 MVTec AD 2 或 3D-AD。</w:t>
            </w:r>
          </w:p>
        </w:tc>
      </w:tr>
      <w:tr>
        <w:tc>
          <w:tcPr>
            <w:tcW w:type="dxa" w:w="1304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指标</w:t>
            </w:r>
          </w:p>
        </w:tc>
        <w:tc>
          <w:tcPr>
            <w:tcW w:type="dxa" w:w="3742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图像级正常/异常正确分类比例；区域重叠、像素 ROC AUC。</w:t>
            </w:r>
          </w:p>
        </w:tc>
        <w:tc>
          <w:tcPr>
            <w:tcW w:type="dxa" w:w="3742"/>
            <w:vAlign w:val="center"/>
            <w:shd w:fill="F8FAF8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增加像素 AU-PR、AU-PRO、AU-IoU 及低 FPR 区间；讨论类别不平衡。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实验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初始方法及正常验证图估阈规则。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明确每类 10% 正常验证留出；扩展阈值估计、运行资源分析，更新基线并加入 Student–Teacher、f-AnoGAN。</w:t>
            </w:r>
          </w:p>
        </w:tc>
      </w:tr>
    </w:tbl>
    <w:p>
      <w:pPr>
        <w:spacing w:after="0"/>
      </w:pPr>
    </w:p>
    <w:p>
      <w:pPr>
        <w:spacing w:after="140" w:line="283" w:lineRule="auto"/>
      </w:pPr>
      <w:r>
        <w:rPr>
          <w:rFonts w:ascii="Microsoft YaHei" w:hAnsi="Microsoft YaHei" w:eastAsia="Microsoft YaHei"/>
          <w:b w:val="0"/>
          <w:sz w:val="19"/>
        </w:rPr>
        <w:t>所以两篇论文中的同名方法分数也不宜直接逐项比较：指标定义、验证协议、实现与预处理已有变化。2021 文指出测试像素仅约 2.7% 为异常，单看高 AU-ROC 可能掩盖误报或定位问题。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b w:val="0"/>
          <w:color w:val="4D5550"/>
          <w:sz w:val="19"/>
        </w:rPr>
        <w:t>来源：Bergmann et al., IJCV 2021，本地 PDF；扩展说明见引言（PDF 第 2 页），数据与验证见表 1、§6.1（第 5、10 页），指标见 §4/表 3（第 7–11 页），数值见表 2–3（第 9、11 页）。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MVTec AD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