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r>
        <w:rPr>
          <w:rFonts w:ascii="Microsoft YaHei" w:hAnsi="Microsoft YaHei" w:eastAsia="Microsoft YaHei"/>
          <w:color w:val="196036"/>
          <w:sz w:val="20"/>
        </w:rPr>
        <w:t>Paper Evidence Note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Microsoft YaHei" w:hAnsi="Microsoft YaHei" w:eastAsia="Microsoft YaHei"/>
          <w:b/>
          <w:color w:val="196036"/>
          <w:sz w:val="54"/>
        </w:rPr>
        <w:t>VisA / SPD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Microsoft YaHei" w:hAnsi="Microsoft YaHei" w:eastAsia="Microsoft YaHei"/>
          <w:b/>
          <w:color w:val="196036"/>
          <w:sz w:val="38"/>
        </w:rPr>
        <w:t>数据集、预训练与三种评测协议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</w:rPr>
      </w:pPr>
      <w:r>
        <w:rPr>
          <w:rFonts w:ascii="Microsoft YaHei" w:hAnsi="Microsoft YaHei" w:eastAsia="Microsoft YaHei"/>
          <w:color w:val="4D5550"/>
          <w:sz w:val="20"/>
        </w:rPr>
        <w:t>工业异常检测数据集 · 论文速读</w:t>
      </w:r>
    </w:p>
    <w:p w14:paraId="00000019">
      <w:pPr>
        <w:pStyle w:val="Heading3"/>
        <w:rPr>
          <w:color w:val="000000"/>
        </w:rPr>
      </w:pPr>
      <w:r>
        <w:rPr>
          <w:rFonts w:ascii="Microsoft YaHei" w:hAnsi="Microsoft YaHei" w:eastAsia="Microsoft YaHei"/>
          <w:color w:val="4D5550"/>
          <w:sz w:val="20"/>
        </w:rPr>
        <w:t>2026 年 9 月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一句话回答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/>
          <w:sz w:val="19"/>
        </w:rPr>
        <w:t>VisA 论文的成绩取决于训练协议：1-class 只用正常图；2-class high-shot 同时用正常/异常图；2-class 5/10-shot 每类仅取 5/10 张。论文先在 ImageNet-2012 上预训练表征，再在 VisA 的 12 个类别分别训练/评测并取类别均值；图像检测和像素分割都同时报告 AU-PR 与 AU-ROC。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数据与三种划分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1D9"/>
          <w:left w:val="single" w:sz="4" w:color="D7E1D9"/>
          <w:bottom w:val="single" w:sz="4" w:color="D7E1D9"/>
          <w:right w:val="single" w:sz="4" w:color="D7E1D9"/>
          <w:insideH w:val="single" w:sz="4" w:color="D7E1D9"/>
          <w:insideV w:val="single" w:sz="4" w:color="D7E1D9"/>
        </w:tblBorders>
      </w:tblPr>
      <w:tblGrid>
        <w:gridCol w:w="4680"/>
        <w:gridCol w:w="4680"/>
      </w:tblGrid>
      <w:tr>
        <w:tc>
          <w:tcPr>
            <w:tcW w:type="dxa" w:w="1757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核对项</w:t>
            </w:r>
          </w:p>
        </w:tc>
        <w:tc>
          <w:tcPr>
            <w:tcW w:type="dxa" w:w="7030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论文中的实验条件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数据规模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 类、10,821 张高分辨率图：9,621 张正常 + 1,200 张异常；每类 100 张异常；有图像级标签与缺陷像素掩码。</w:t>
            </w:r>
          </w:p>
        </w:tc>
      </w:tr>
      <w:tr>
        <w:tc>
          <w:tcPr>
            <w:tcW w:type="dxa" w:w="1757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1-class</w:t>
            </w:r>
          </w:p>
        </w:tc>
        <w:tc>
          <w:tcPr>
            <w:tcW w:type="dxa" w:w="7030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每类 90% 正常图训练；其余 10% 正常图 + 全部异常图测试。下游方法为 PaDiM（论文另补充 PatchCore）。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2-class high-shot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每类正常图和异常图各自按 60% / 40% 划分训练/测试；图像分类用二分类 ResNet，分割用 U-Net。</w:t>
            </w:r>
          </w:p>
        </w:tc>
      </w:tr>
      <w:tr>
        <w:tc>
          <w:tcPr>
            <w:tcW w:type="dxa" w:w="1757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2-class 5/10-shot</w:t>
            </w:r>
          </w:p>
        </w:tc>
        <w:tc>
          <w:tcPr>
            <w:tcW w:type="dxa" w:w="7030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先将正常和异常图各按 20% / 80% 组成候选训练池/测试集；再从训练池的两类各抽 k=5 或 10 张训练；报告 5 次随机运行均值。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预训练与指标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监督或自监督预训练使用 ImageNet-2012；VisA 下游按 12 类汇总。图像级与像素级均分别计算 AU-PR、AU-ROC；不要把图像级 AU-PR 写成分割 AU-PR。</w:t>
            </w:r>
          </w:p>
        </w:tc>
      </w:tr>
    </w:tbl>
    <w:p>
      <w:pPr>
        <w:spacing w:after="0"/>
      </w:pP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怎样读论文里的代表性成绩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1D9"/>
          <w:left w:val="single" w:sz="4" w:color="D7E1D9"/>
          <w:bottom w:val="single" w:sz="4" w:color="D7E1D9"/>
          <w:right w:val="single" w:sz="4" w:color="D7E1D9"/>
          <w:insideH w:val="single" w:sz="4" w:color="D7E1D9"/>
          <w:insideV w:val="single" w:sz="4" w:color="D7E1D9"/>
        </w:tblBorders>
      </w:tblPr>
      <w:tblGrid>
        <w:gridCol w:w="4680"/>
        <w:gridCol w:w="4680"/>
      </w:tblGrid>
      <w:tr>
        <w:tc>
          <w:tcPr>
            <w:tcW w:type="dxa" w:w="1757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结果</w:t>
            </w:r>
          </w:p>
        </w:tc>
        <w:tc>
          <w:tcPr>
            <w:tcW w:type="dxa" w:w="7030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必须附带的条件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59.7 vs 53.8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表 3：VisA 2-class high-shot，U-Net 分割；ImageNet 自监督 SimSiam+SPD 对比 SimSiam，像素级 AU-PR，跨 12 类平均，提升 5.9 个百分点。</w:t>
            </w:r>
          </w:p>
        </w:tc>
      </w:tr>
      <w:tr>
        <w:tc>
          <w:tcPr>
            <w:tcW w:type="dxa" w:w="1757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71.9 vs 65.1</w:t>
            </w:r>
          </w:p>
        </w:tc>
        <w:tc>
          <w:tcPr>
            <w:tcW w:type="dxa" w:w="7030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表 3：同一 high-shot 划分与分割指标；ImageNet 监督预训练+SPD 对比监督预训练，提升 6.8 个百分点。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11.4 / 93.1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表 2：VisA 1-class，PaDiM + ImageNet 监督预训练；分别是像素级 AU-PR / AU-ROC（百分数），说明高 AU-ROC 不等于高缺陷像素查准率。</w:t>
            </w:r>
          </w:p>
        </w:tc>
      </w:tr>
    </w:tbl>
    <w:p>
      <w:pPr>
        <w:spacing w:after="0"/>
      </w:pP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论文贡献与阅读边界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sz w:val="19"/>
        </w:rPr>
        <w:t>论文同时提出更复杂的 VisA 数据集与 SPD（Spot-the-Difference）预训练策略：用局部扰动提升表征对细小差异的敏感度。SPD 的效果不是“VisA 数据集本身的成绩”，而是特定预训练—下游方法—划分—指标组合的实验结果。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sz w:val="19"/>
        </w:rPr>
        <w:t>表 4 的 few-shot 数值不能与表 3 的 high-shot 直接比较；表 2 的 1-class PaDiM 也不能与表 3 的有监督 U-Net 当作同一种训练条件。复现前应核对官方 split、随机种子、图像缩放、ImageNet 权重、图像/像素级评估脚本。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color w:val="4D5550"/>
          <w:sz w:val="19"/>
        </w:rPr>
        <w:t>来源：Zou et al., SPot-the-Difference，arXiv:2207.14315v1（2022），本地 PDF；数据见 §4.1/表 1（PDF 第 8–9 页），划分与指标见 §4.2（第 9–10 页），预训练与下游模型见 §5（第 10–11 页），结果见表 2–4（第 11–13 页）。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VisA / SPD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