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83149"/>
          <w:sz w:val="40"/>
        </w:rPr>
        <w:t>两篇工业视觉综述的交叉结论｜选题参考</w:t>
      </w:r>
    </w:p>
    <w:p>
      <w:r>
        <w:rPr>
          <w:rFonts w:ascii="微软雅黑" w:hAnsi="微软雅黑" w:eastAsia="微软雅黑"/>
          <w:b w:val="0"/>
          <w:color w:val="006770"/>
          <w:sz w:val="20"/>
        </w:rPr>
        <w:t>面向 2026 年 11 月可能的开题：先缩小问题，再验证数据和方法</w:t>
      </w:r>
    </w:p>
    <w:p>
      <w:pPr>
        <w:pStyle w:val="Note"/>
      </w:pPr>
      <w:r>
        <w:t>依据：Nahar 等（2026），DOI: 10.1016/j.aei.2025.104067；Li 等（2025），DOI: 10.1007/s10462-025-11287-7。本文件是两篇综述的交叉解读与个人条件推断，不代表导师已确认题目。</w:t>
      </w:r>
    </w:p>
    <w:p>
      <w:pPr>
        <w:ind w:left="198" w:right="198"/>
        <w:shd w:fill="EEF5F5"/>
      </w:pPr>
      <w:r>
        <w:rPr>
          <w:rFonts w:ascii="微软雅黑" w:hAnsi="微软雅黑" w:eastAsia="微软雅黑"/>
          <w:b/>
          <w:color w:val="006770"/>
          <w:sz w:val="19"/>
        </w:rPr>
        <w:t xml:space="preserve">当前判断  </w:t>
      </w:r>
      <w:r>
        <w:t>最值得先做的是“正常样本驱动的 2D 表面异常检测＋受控评测”；第二条是条件成立时的“已知缺陷监督检测/分割＋工程化”。在拿到真实器件数据之前，二者是候选路线，不是最终开题题名。</w:t>
      </w:r>
    </w:p>
    <w:p>
      <w:pPr>
        <w:pStyle w:val="Heading1"/>
      </w:pPr>
      <w:r>
        <w:t>1. 两篇综述合在一起说明什么？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247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问题</w:t>
            </w:r>
          </w:p>
        </w:tc>
        <w:tc>
          <w:tcPr>
            <w:tcW w:type="dxa" w:w="2324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广义缺陷检测综述</w:t>
            </w:r>
          </w:p>
        </w:tc>
        <w:tc>
          <w:tcPr>
            <w:tcW w:type="dxa" w:w="243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异常检测综述</w:t>
            </w:r>
          </w:p>
        </w:tc>
        <w:tc>
          <w:tcPr>
            <w:tcW w:type="dxa" w:w="221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对你的决定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研究对象</w:t>
            </w:r>
          </w:p>
        </w:tc>
        <w:tc>
          <w:tcPr>
            <w:tcW w:type="dxa" w:w="232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成像、传统规则、分类、检测、分割、监督方式及系统挑战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缺陷少/未知时的异常学习、图像判定与像素定位</w:t>
            </w:r>
          </w:p>
        </w:tc>
        <w:tc>
          <w:tcPr>
            <w:tcW w:type="dxa" w:w="221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先确认具体器件、缺陷与业务输出；异常检测是分支，不是全部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数据条件</w:t>
            </w:r>
          </w:p>
        </w:tc>
        <w:tc>
          <w:tcPr>
            <w:tcW w:type="dxa" w:w="232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不同任务决定图像标签、框或掩膜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正常训练可降低缺陷标签要求，但测试仍需异常真值</w:t>
            </w:r>
          </w:p>
        </w:tc>
        <w:tc>
          <w:tcPr>
            <w:tcW w:type="dxa" w:w="221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按现有标注选择任务，而非先选模型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评估</w:t>
            </w:r>
          </w:p>
        </w:tc>
        <w:tc>
          <w:tcPr>
            <w:tcW w:type="dxa" w:w="232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误检漏检、尺度、成像及部署都重要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AUROC/AUPRO之外必须检验阈值与域变化</w:t>
            </w:r>
          </w:p>
        </w:tc>
        <w:tc>
          <w:tcPr>
            <w:tcW w:type="dxa" w:w="221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统一拆分，记录失败图和运行成本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开题价值</w:t>
            </w:r>
          </w:p>
        </w:tc>
        <w:tc>
          <w:tcPr>
            <w:tcW w:type="dxa" w:w="232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完整技术链可定位应用问题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样本稀缺、异常定位与鲁棒性可形成可检验问题</w:t>
            </w:r>
          </w:p>
        </w:tc>
        <w:tc>
          <w:tcPr>
            <w:tcW w:type="dxa" w:w="221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找一个可被数据验证的小问题，不急于宣称算法创新</w:t>
            </w:r>
          </w:p>
        </w:tc>
      </w:tr>
    </w:tbl>
    <w:p>
      <w:pPr>
        <w:spacing w:after="0"/>
      </w:pPr>
    </w:p>
    <w:p>
      <w:pPr>
        <w:pStyle w:val="Heading1"/>
      </w:pPr>
      <w:r>
        <w:t>2. 最值得深入的路线：一主一备</w:t>
      </w:r>
    </w:p>
    <w:p>
      <w:pPr>
        <w:pStyle w:val="Heading2"/>
      </w:pPr>
      <w:r>
        <w:t>路线 A（优先）：2D 正常样本异常检测与误检漏检分析</w:t>
      </w:r>
    </w:p>
    <w:p>
      <w:r>
        <w:t>前提：能获取较多合格件 2D RGB 图像，缺陷类型不齐或 NG 样本少；至少有一批独立 NG 测试图。先用 MVTec AD 单类和 VisA PCB 子集建立 PaDiM/PatchCore 基线，再观察真实器件上的正常批次变化、微小缺陷、阈值漂移。</w:t>
      </w:r>
    </w:p>
    <w:p>
      <w:r>
        <w:t>可检验题眼：在固定训练/测试协议下，哪种正常外观变化导致误报，哪种小缺陷导致漏报？在不显著增加推理时间的前提下，预处理、分辨率/切块或阈值校准能改善多少？需要报告图像级 AUROC、像素级指标（有掩膜时）、固定阈值 Precision/Recall、误检/漏检样例与时延。</w:t>
      </w:r>
    </w:p>
    <w:p>
      <w:r>
        <w:t>理由：与“缺陷稀少”的工业常态吻合，公开数据和成熟基线可快速起步；问题可落到成像、指标和工程实施。风险是公开数据容易做出漂亮分数但真实数据域差很大，因此必须争取导师数据。</w:t>
      </w:r>
    </w:p>
    <w:p>
      <w:pPr>
        <w:pStyle w:val="Heading2"/>
      </w:pPr>
      <w:r>
        <w:t>路线 B（条件成立时）：已知缺陷检测/分割与 C++ 部署</w:t>
      </w:r>
    </w:p>
    <w:p>
      <w:r>
        <w:t>前提：导师能给出稳定的缺陷类别、一定数量的 NG 图，以及框或掩膜标注；且需求明确是“定位/计数”或“面积/长度量化”。先做 OpenCV 规则基线，再选一个轻量监督检测模型；只有在像素边界确实重要且有可靠掩膜时才做分割。后期发挥你的 C++、视频处理与嵌入式背景，做推理集成、分辨率/速度权衡和错误追踪。</w:t>
      </w:r>
    </w:p>
    <w:p>
      <w:r>
        <w:t>理由：更接近可交付工业系统和你已有的软件工程优势。风险是数据准备比模型训练更费时，类别定义与标注一致性可能成为开题前瓶颈。若导师目前只有正常图，就不要把此线作为主线。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306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导师提供的数据</w:t>
            </w:r>
          </w:p>
        </w:tc>
        <w:tc>
          <w:tcPr>
            <w:tcW w:type="dxa" w:w="238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优先任务</w:t>
            </w:r>
          </w:p>
        </w:tc>
        <w:tc>
          <w:tcPr>
            <w:tcW w:type="dxa" w:w="277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下一步</w:t>
            </w:r>
          </w:p>
        </w:tc>
      </w:tr>
      <w:tr>
        <w:tc>
          <w:tcPr>
            <w:tcW w:type="dxa" w:w="306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大量正常图＋少量 NG，缺陷类别不全</w:t>
            </w:r>
          </w:p>
        </w:tc>
        <w:tc>
          <w:tcPr>
            <w:tcW w:type="dxa" w:w="238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路线 A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正常样本异常检测；建立独立缺陷测试集</w:t>
            </w:r>
          </w:p>
        </w:tc>
      </w:tr>
      <w:tr>
        <w:tc>
          <w:tcPr>
            <w:tcW w:type="dxa" w:w="306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稳定已知缺陷＋框标注</w:t>
            </w:r>
          </w:p>
        </w:tc>
        <w:tc>
          <w:tcPr>
            <w:tcW w:type="dxa" w:w="238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路线 B：目标检测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报告小缺陷 AP/召回与误检漏检</w:t>
            </w:r>
          </w:p>
        </w:tc>
      </w:tr>
      <w:tr>
        <w:tc>
          <w:tcPr>
            <w:tcW w:type="dxa" w:w="306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有高质量掩膜且需量化面积/边界</w:t>
            </w:r>
          </w:p>
        </w:tc>
        <w:tc>
          <w:tcPr>
            <w:tcW w:type="dxa" w:w="238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路线 B：分割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先验证标注一致性及测量误差</w:t>
            </w:r>
          </w:p>
        </w:tc>
      </w:tr>
      <w:tr>
        <w:tc>
          <w:tcPr>
            <w:tcW w:type="dxa" w:w="306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暂时没有真实图像</w:t>
            </w:r>
          </w:p>
        </w:tc>
        <w:tc>
          <w:tcPr>
            <w:tcW w:type="dxa" w:w="238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公开数据方法/数据调研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不要承诺手机元器件论文题目；先向导师确认数据路径</w:t>
            </w:r>
          </w:p>
        </w:tc>
      </w:tr>
    </w:tbl>
    <w:p>
      <w:pPr>
        <w:spacing w:after="0"/>
      </w:pPr>
    </w:p>
    <w:p>
      <w:pPr>
        <w:pStyle w:val="Heading1"/>
      </w:pPr>
      <w:r>
        <w:t>3. 暂时排除什么，为什么？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2324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暂缓方向</w:t>
            </w:r>
          </w:p>
        </w:tc>
        <w:tc>
          <w:tcPr>
            <w:tcW w:type="dxa" w:w="3855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理由</w:t>
            </w:r>
          </w:p>
        </w:tc>
        <w:tc>
          <w:tcPr>
            <w:tcW w:type="dxa" w:w="204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何时再考虑</w:t>
            </w:r>
          </w:p>
        </w:tc>
      </w:tr>
      <w:tr>
        <w:tc>
          <w:tcPr>
            <w:tcW w:type="dxa" w:w="232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从零训练大模型、扩散生成或复杂多模态</w:t>
            </w:r>
          </w:p>
        </w:tc>
        <w:tc>
          <w:tcPr>
            <w:tcW w:type="dxa" w:w="385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算力、数据和评估成本高；短期开题难形成可信增量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明确有足够数据/资源及可比较基线</w:t>
            </w:r>
          </w:p>
        </w:tc>
      </w:tr>
      <w:tr>
        <w:tc>
          <w:tcPr>
            <w:tcW w:type="dxa" w:w="232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3D、X 光、红外、多相机融合</w:t>
            </w:r>
          </w:p>
        </w:tc>
        <w:tc>
          <w:tcPr>
            <w:tcW w:type="dxa" w:w="385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目前未证实有相应传感器与标定数据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2D RGB 确实不足且导师能提供设备/数据</w:t>
            </w:r>
          </w:p>
        </w:tc>
      </w:tr>
      <w:tr>
        <w:tc>
          <w:tcPr>
            <w:tcW w:type="dxa" w:w="232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缺掩膜时直接做像素级分割</w:t>
            </w:r>
          </w:p>
        </w:tc>
        <w:tc>
          <w:tcPr>
            <w:tcW w:type="dxa" w:w="385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训练真值与定量评价不具备，标签制作成本高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业务需精确测量并能获得可信掩膜</w:t>
            </w:r>
          </w:p>
        </w:tc>
      </w:tr>
      <w:tr>
        <w:tc>
          <w:tcPr>
            <w:tcW w:type="dxa" w:w="232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只追公开榜单或堆叠新网络模块</w:t>
            </w:r>
          </w:p>
        </w:tc>
        <w:tc>
          <w:tcPr>
            <w:tcW w:type="dxa" w:w="385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基准饱和、协议不一；无法证明真实器件受益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真实数据失败模式已明确，改动有对照实验</w:t>
            </w:r>
          </w:p>
        </w:tc>
      </w:tr>
      <w:tr>
        <w:tc>
          <w:tcPr>
            <w:tcW w:type="dxa" w:w="232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先做实时 C++ 系统再定义视觉问题</w:t>
            </w:r>
          </w:p>
        </w:tc>
        <w:tc>
          <w:tcPr>
            <w:tcW w:type="dxa" w:w="385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部署强项重要，但先要知道被部署的方法能否检出缺陷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基线、指标和目标硬件/节拍已明确</w:t>
            </w:r>
          </w:p>
        </w:tc>
      </w:tr>
      <w:tr>
        <w:tc>
          <w:tcPr>
            <w:tcW w:type="dxa" w:w="232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立即锁定“手机元器件”专项题目</w:t>
            </w:r>
          </w:p>
        </w:tc>
        <w:tc>
          <w:tcPr>
            <w:tcW w:type="dxa" w:w="3855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这是同门沟通线索，尚无具体器件、缺陷或数据确认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导师确认对象、图像、标注和目标</w:t>
            </w:r>
          </w:p>
        </w:tc>
      </w:tr>
    </w:tbl>
    <w:p>
      <w:pPr>
        <w:spacing w:after="0"/>
      </w:pPr>
    </w:p>
    <w:p>
      <w:pPr>
        <w:pStyle w:val="Heading1"/>
      </w:pPr>
      <w:r>
        <w:t>4. 接下来两个月的最小闭环</w:t>
      </w:r>
    </w:p>
    <w:p>
      <w:pPr>
        <w:pStyle w:val="ListBullet"/>
        <w:ind w:left="312" w:hanging="142"/>
      </w:pPr>
      <w:r>
        <w:t>第 1–2 周：完成两篇综述的任务/标签/指标对照表与技术树；向导师问清目标器件、成像形式、可拿到的数据和开题预期。</w:t>
      </w:r>
    </w:p>
    <w:p>
      <w:pPr>
        <w:pStyle w:val="ListBullet"/>
        <w:ind w:left="312" w:hanging="142"/>
      </w:pPr>
      <w:r>
        <w:t>第 2–4 周：做 4 张数据集卡。建议至少 MVTec AD、VisA PCB 子集，再补 1 个已知缺陷检测集和 1 个更贴近导师对象的数据集；最后一张需按真实对象调整。</w:t>
      </w:r>
    </w:p>
    <w:p>
      <w:pPr>
        <w:pStyle w:val="ListBullet"/>
        <w:ind w:left="312" w:hanging="142"/>
      </w:pPr>
      <w:r>
        <w:t>第 4–6 周：用一个公开类别复现 1 个正常样本异常检测基线；保留训练配置、固定拆分、指标、热图与失败样例。</w:t>
      </w:r>
    </w:p>
    <w:p>
      <w:pPr>
        <w:pStyle w:val="ListBullet"/>
        <w:ind w:left="312" w:hanging="142"/>
      </w:pPr>
      <w:r>
        <w:t>第 6–8 周：若有导师数据，用相同流程试跑；若没有，比较公开数据的光照/分辨率变化并准备 2 个有条件的候选题目与数据需求清单。</w:t>
      </w:r>
    </w:p>
    <w:p>
      <w:pPr>
        <w:pStyle w:val="Heading1"/>
      </w:pPr>
      <w:r>
        <w:t>5. 需要向导师尽快确认的 6 个问题</w:t>
      </w:r>
    </w:p>
    <w:p>
      <w:pPr>
        <w:pStyle w:val="ListBullet"/>
        <w:ind w:left="312" w:hanging="142"/>
      </w:pPr>
      <w:r>
        <w:t>检测对象到底是什么器件/产品？是表面瑕疵、装配错误、尺寸偏差，还是混合问题？</w:t>
      </w:r>
    </w:p>
    <w:p>
      <w:pPr>
        <w:pStyle w:val="ListBullet"/>
        <w:ind w:left="312" w:hanging="142"/>
      </w:pPr>
      <w:r>
        <w:t>最终需要整件 OK/NG、缺陷类别、框定位，还是像素面积/长度？</w:t>
      </w:r>
    </w:p>
    <w:p>
      <w:pPr>
        <w:pStyle w:val="ListBullet"/>
        <w:ind w:left="312" w:hanging="142"/>
      </w:pPr>
      <w:r>
        <w:t>能获取多少正常/缺陷图？是否有真实缺陷类别、框/掩膜及不同批次测试集？</w:t>
      </w:r>
    </w:p>
    <w:p>
      <w:pPr>
        <w:pStyle w:val="ListBullet"/>
        <w:ind w:left="312" w:hanging="142"/>
      </w:pPr>
      <w:r>
        <w:t>相机、镜头、光源、分辨率与拍摄工位是否固定？是否允许补采、重新打光？</w:t>
      </w:r>
    </w:p>
    <w:p>
      <w:pPr>
        <w:pStyle w:val="ListBullet"/>
        <w:ind w:left="312" w:hanging="142"/>
      </w:pPr>
      <w:r>
        <w:t>误检和漏检哪个代价更高？允许多大人工复检量、延迟和硬件预算？</w:t>
      </w:r>
    </w:p>
    <w:p>
      <w:pPr>
        <w:pStyle w:val="ListBullet"/>
        <w:ind w:left="312" w:hanging="142"/>
      </w:pPr>
      <w:r>
        <w:t>11 月开题更看重应用系统、算法改进还是实验研究？现有数据何时能用于学生实验？</w:t>
      </w:r>
    </w:p>
    <w:p>
      <w:r>
        <w:t>结论分层：【综述支持】任务、标注、成像和评价必须匹配；正常训练可缓解缺陷样本稀缺，但不能免去测试验证。【个人推断】路线 A 更适合作为眼下主线，路线 B 取决于导师数据。【尚需验证】真实器件数据、设备、标注与开题要求；在此之前不应宣称任何路线已具研究创新性或工业适用性。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62" w:bottom="907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58636D"/>
        <w:sz w:val="16"/>
      </w:rPr>
      <w:t xml:space="preserve">个人学习资料｜以原论文和数据集官方说明为准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8636D"/>
        <w:sz w:val="16"/>
      </w:rPr>
      <w:t>论文阅读参考 · 2026-09-17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微软雅黑" w:hAnsi="微软雅黑" w:eastAsia="微软雅黑"/>
      <w:color w:val="18314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677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677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831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rPr>
      <w:color w:val="58636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