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83149"/>
          <w:sz w:val="40"/>
        </w:rPr>
        <w:t>广义工业产品缺陷检测综述｜阅读参考</w:t>
      </w:r>
    </w:p>
    <w:p>
      <w:r>
        <w:rPr>
          <w:rFonts w:ascii="微软雅黑" w:hAnsi="微软雅黑" w:eastAsia="微软雅黑"/>
          <w:b w:val="0"/>
          <w:color w:val="006770"/>
          <w:sz w:val="20"/>
        </w:rPr>
        <w:t>先分清检测任务，再决定数据、标注、模型与评价</w:t>
      </w:r>
    </w:p>
    <w:p>
      <w:pPr>
        <w:pStyle w:val="Note"/>
      </w:pPr>
      <w:r>
        <w:t>原文：Nahar 等，AI-enabled defect detection in industrial products: A comprehensive survey, key insights and future research challenges，Advanced Engineering Informatics 69 (2026) 104067，DOI: 10.1016/j.aei.2025.104067。以下页码指本地 PDF 页码。</w:t>
      </w:r>
    </w:p>
    <w:p>
      <w:pPr>
        <w:ind w:left="198" w:right="198"/>
        <w:shd w:fill="EEF5F5"/>
      </w:pPr>
      <w:r>
        <w:rPr>
          <w:rFonts w:ascii="微软雅黑" w:hAnsi="微软雅黑" w:eastAsia="微软雅黑"/>
          <w:b/>
          <w:color w:val="006770"/>
          <w:sz w:val="19"/>
        </w:rPr>
        <w:t xml:space="preserve">一句话理解  </w:t>
      </w:r>
      <w:r>
        <w:t>这篇是工业产品缺陷检测的全景图：从成像、传统视觉到分类、定位、分割及不同监督方式；它不是针对手机元器件的专项综述，也不是可直接照抄的模型排行榜。</w:t>
      </w:r>
    </w:p>
    <w:p>
      <w:pPr>
        <w:pStyle w:val="Heading1"/>
      </w:pPr>
      <w:r>
        <w:t>1. 它把工业检测分成了什么任务？</w:t>
      </w:r>
    </w:p>
    <w:p>
      <w:r>
        <w:t>论文先按产品材料、缺陷形态和成像条件讨论问题，再把深度学习任务概括为分类与定位，后者主要是目标检测和分割；异常检测更多是一类“依据正常/异常样本学习”的问题设定，而非与前三者完全互斥的输出形式（原文第 4–8、10 页）。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24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任务</w:t>
            </w:r>
          </w:p>
        </w:tc>
        <w:tc>
          <w:tcPr>
            <w:tcW w:type="dxa" w:w="192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输入→输出</w:t>
            </w:r>
          </w:p>
        </w:tc>
        <w:tc>
          <w:tcPr>
            <w:tcW w:type="dxa" w:w="226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适合的问题</w:t>
            </w:r>
          </w:p>
        </w:tc>
        <w:tc>
          <w:tcPr>
            <w:tcW w:type="dxa" w:w="277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边界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图像分类</w:t>
            </w:r>
          </w:p>
        </w:tc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整张图→OK/NG 或缺陷类别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先做产品筛选、已知缺陷分类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只回答有没有/是什么；不知道缺陷位置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目标检测</w:t>
            </w:r>
          </w:p>
        </w:tc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图像→缺陷框、类别和置信度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多个已知缺陷、需要定位/计数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框只能粗定位；极小、细长或边界不规则缺陷较难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图像分割</w:t>
            </w:r>
          </w:p>
        </w:tc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图像→像素级缺陷区域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划痕面积、边界、长度等需量化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标注成本高；薄弱边界和类别不平衡显著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异常检测</w:t>
            </w:r>
          </w:p>
        </w:tc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正常/少量异常图→异常分数，可附热图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缺陷类型未知或缺陷样本少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能报“不同于正常”，未必能判定缺陷语义；阈值易受场景变化影响</w:t>
            </w:r>
          </w:p>
        </w:tc>
      </w:tr>
      <w:tr>
        <w:tc>
          <w:tcPr>
            <w:tcW w:type="dxa" w:w="124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传统视觉</w:t>
            </w:r>
          </w:p>
        </w:tc>
        <w:tc>
          <w:tcPr>
            <w:tcW w:type="dxa" w:w="19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成像图→阈值/边缘/纹理规则结果</w:t>
            </w:r>
          </w:p>
        </w:tc>
        <w:tc>
          <w:tcPr>
            <w:tcW w:type="dxa" w:w="226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固定工位、缺陷形态稳定、需可解释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光照、材质、批次变化可能令规则失效</w:t>
            </w:r>
          </w:p>
        </w:tc>
      </w:tr>
    </w:tbl>
    <w:p>
      <w:pPr>
        <w:spacing w:after="0"/>
      </w:pPr>
    </w:p>
    <w:p>
      <w:r>
        <w:t>例如手机零件上的一道微小划痕：分类判断整件 NG；检测给出划痕框；分割给出划痕像素；异常检测可在只学过合格件的情况下指出“这里不像正常表面”。同一图像可同时服务多个任务。</w:t>
      </w:r>
    </w:p>
    <w:p>
      <w:pPr>
        <w:pStyle w:val="Heading1"/>
      </w:pPr>
      <w:r>
        <w:t>2. 训练时需要什么标注？一定要大量缺陷吗？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c>
          <w:tcPr>
            <w:tcW w:type="dxa" w:w="1304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路线</w:t>
            </w:r>
          </w:p>
        </w:tc>
        <w:tc>
          <w:tcPr>
            <w:tcW w:type="dxa" w:w="277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训练数据/标注</w:t>
            </w:r>
          </w:p>
        </w:tc>
        <w:tc>
          <w:tcPr>
            <w:tcW w:type="dxa" w:w="209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缺陷样本需求</w:t>
            </w:r>
          </w:p>
        </w:tc>
        <w:tc>
          <w:tcPr>
            <w:tcW w:type="dxa" w:w="204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注意</w:t>
            </w:r>
          </w:p>
        </w:tc>
      </w:tr>
      <w:tr>
        <w:tc>
          <w:tcPr>
            <w:tcW w:type="dxa" w:w="130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分类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图像级 OK/NG 或类别标签</w:t>
            </w:r>
          </w:p>
        </w:tc>
        <w:tc>
          <w:tcPr>
            <w:tcW w:type="dxa" w:w="209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监督训练通常需要足够多且有代表性的缺陷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仅图像标签不能提供精确位置</w:t>
            </w:r>
          </w:p>
        </w:tc>
      </w:tr>
      <w:tr>
        <w:tc>
          <w:tcPr>
            <w:tcW w:type="dxa" w:w="130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目标检测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缺陷外接框＋类别</w:t>
            </w:r>
          </w:p>
        </w:tc>
        <w:tc>
          <w:tcPr>
            <w:tcW w:type="dxa" w:w="209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通常需要各类缺陷实例；少样本可借助预训练/增强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框标注不是像素掩膜</w:t>
            </w:r>
          </w:p>
        </w:tc>
      </w:tr>
      <w:tr>
        <w:tc>
          <w:tcPr>
            <w:tcW w:type="dxa" w:w="130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分割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逐像素掩膜；弱监督方案可减轻要求</w:t>
            </w:r>
          </w:p>
        </w:tc>
        <w:tc>
          <w:tcPr>
            <w:tcW w:type="dxa" w:w="209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全监督依赖较多高质量掩膜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细小缺陷的标注一致性本身是难题</w:t>
            </w:r>
          </w:p>
        </w:tc>
      </w:tr>
      <w:tr>
        <w:tc>
          <w:tcPr>
            <w:tcW w:type="dxa" w:w="130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正常样本异常检测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训练可只用正常图；测试仍需已知正常/异常标签、定位评测需掩膜</w:t>
            </w:r>
          </w:p>
        </w:tc>
        <w:tc>
          <w:tcPr>
            <w:tcW w:type="dxa" w:w="209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不必先收集大量缺陷训练样本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正常样本必须覆盖正常外观变化；仍需缺陷测试集验证</w:t>
            </w:r>
          </w:p>
        </w:tc>
      </w:tr>
      <w:tr>
        <w:tc>
          <w:tcPr>
            <w:tcW w:type="dxa" w:w="1304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传统规则</w:t>
            </w:r>
          </w:p>
        </w:tc>
        <w:tc>
          <w:tcPr>
            <w:tcW w:type="dxa" w:w="277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规则调试样本＋带真值的验证集</w:t>
            </w:r>
          </w:p>
        </w:tc>
        <w:tc>
          <w:tcPr>
            <w:tcW w:type="dxa" w:w="209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不一定要大量缺陷训练样本</w:t>
            </w:r>
          </w:p>
        </w:tc>
        <w:tc>
          <w:tcPr>
            <w:tcW w:type="dxa" w:w="204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不能用少量演示成功代替独立测试</w:t>
            </w:r>
          </w:p>
        </w:tc>
      </w:tr>
    </w:tbl>
    <w:p>
      <w:pPr>
        <w:spacing w:after="0"/>
      </w:pPr>
    </w:p>
    <w:p>
      <w:pPr>
        <w:ind w:left="198" w:right="198"/>
        <w:shd w:fill="EEF5F5"/>
      </w:pPr>
      <w:r>
        <w:rPr>
          <w:rFonts w:ascii="微软雅黑" w:hAnsi="微软雅黑" w:eastAsia="微软雅黑"/>
          <w:b/>
          <w:color w:val="006770"/>
          <w:sz w:val="19"/>
        </w:rPr>
        <w:t xml:space="preserve">阅读校正  </w:t>
      </w:r>
      <w:r>
        <w:t>综述第 18 页有“检测需要像素级标注”的表述；常规目标检测一般使用边界框，像素掩膜属于分割。应以具体模型和数据集的真实标注协议为准。</w:t>
      </w:r>
    </w:p>
    <w:p>
      <w:pPr>
        <w:pStyle w:val="Heading1"/>
      </w:pPr>
      <w:r>
        <w:t>3. 常用数据集与指标怎么读？</w:t>
      </w:r>
    </w:p>
    <w:p>
      <w:r>
        <w:t>综述汇总了 DAGM、NEU-DET、MVTec AD、KolektorSDD 等常见数据集，也涉及 PCB 等产品数据（原文第 20–21 页及相关表格）。它们并不自动等同于“手机元器件数据”：材质、分辨率、缺陷比例、成像装置都可能不同。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70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数据集例子</w:t>
            </w:r>
          </w:p>
        </w:tc>
        <w:tc>
          <w:tcPr>
            <w:tcW w:type="dxa" w:w="289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可先理解的用途</w:t>
            </w:r>
          </w:p>
        </w:tc>
        <w:tc>
          <w:tcPr>
            <w:tcW w:type="dxa" w:w="3628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迁移边界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DAGM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规则纹理中的缺陷/异常入门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偏合成或受控纹理，与真实器件差距大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NEU-DET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钢表面已知缺陷的检测/分类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金属表面经验不能直接代替电子元器件经验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MVTec AD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正常样本训练的异常检测与像素定位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标准基准的成功不等于实际产线稳定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KolektorSDD、PCB 类数据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表面缺陷/电路板相关方法试验</w:t>
            </w:r>
          </w:p>
        </w:tc>
        <w:tc>
          <w:tcPr>
            <w:tcW w:type="dxa" w:w="3628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先核对官方标签形式、拆分和使用许可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c>
          <w:tcPr>
            <w:tcW w:type="dxa" w:w="1417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要评估什么</w:t>
            </w:r>
          </w:p>
        </w:tc>
        <w:tc>
          <w:tcPr>
            <w:tcW w:type="dxa" w:w="2891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常用指标</w:t>
            </w:r>
          </w:p>
        </w:tc>
        <w:tc>
          <w:tcPr>
            <w:tcW w:type="dxa" w:w="3912"/>
            <w:vAlign w:val="center"/>
            <w:shd w:fill="DCEBED"/>
          </w:tcPr>
          <w:p>
            <w:pPr>
              <w:keepLines/>
              <w:spacing w:after="0"/>
            </w:pPr>
            <w:r>
              <w:rPr>
                <w:rFonts w:ascii="微软雅黑" w:hAnsi="微软雅黑" w:eastAsia="微软雅黑"/>
                <w:b/>
                <w:color w:val="183149"/>
                <w:sz w:val="17"/>
              </w:rPr>
              <w:t>不能忽略的业务问题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整件判定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准确率、精确率、召回率、F1、AUROC</w:t>
            </w:r>
          </w:p>
        </w:tc>
        <w:tc>
          <w:tcPr>
            <w:tcW w:type="dxa" w:w="3912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缺陷稀少时准确率可能虚高；漏检率与误检率要单列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框定位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mAP、AP、IoU、每类召回</w:t>
            </w:r>
          </w:p>
        </w:tc>
        <w:tc>
          <w:tcPr>
            <w:tcW w:type="dxa" w:w="3912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小缺陷召回、漏框数量及推理时延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像素分割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IoU/mIoU、Dice/F1、像素 AP/AUROC</w:t>
            </w:r>
          </w:p>
        </w:tc>
        <w:tc>
          <w:tcPr>
            <w:tcW w:type="dxa" w:w="3912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微小缺陷在背景像素中被淹没</w:t>
            </w:r>
          </w:p>
        </w:tc>
      </w:tr>
      <w:tr>
        <w:tc>
          <w:tcPr>
            <w:tcW w:type="dxa" w:w="1417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真实检测系统</w:t>
            </w:r>
          </w:p>
        </w:tc>
        <w:tc>
          <w:tcPr>
            <w:tcW w:type="dxa" w:w="2891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固定阈值下误检/漏检、延迟、吞吐、内存</w:t>
            </w:r>
          </w:p>
        </w:tc>
        <w:tc>
          <w:tcPr>
            <w:tcW w:type="dxa" w:w="3912"/>
            <w:vAlign w:val="center"/>
          </w:tcPr>
          <w:p>
            <w:pPr>
              <w:keepLines/>
              <w:spacing w:after="0" w:line="264" w:lineRule="auto"/>
            </w:pPr>
            <w:r>
              <w:rPr>
                <w:rFonts w:ascii="微软雅黑" w:hAnsi="微软雅黑" w:eastAsia="微软雅黑"/>
                <w:sz w:val="16"/>
              </w:rPr>
              <w:t>按批次/光照/设备分层检验，明确代价偏好</w:t>
            </w:r>
          </w:p>
        </w:tc>
      </w:tr>
    </w:tbl>
    <w:p>
      <w:pPr>
        <w:spacing w:after="0"/>
      </w:pPr>
    </w:p>
    <w:p>
      <w:r>
        <w:t>不同论文的训练划分、图像尺寸、预训练模型和阈值并不统一。综述表格里的分数只能帮助发现方法，不能据此给方法直接排名；选题时要在同一划分和指标下复现比较（原文第 20–25 页）。</w:t>
      </w:r>
    </w:p>
    <w:p>
      <w:pPr>
        <w:pStyle w:val="Heading1"/>
      </w:pPr>
      <w:r>
        <w:t>4. 当前难点：不是单纯换更大的模型</w:t>
      </w:r>
    </w:p>
    <w:p>
      <w:pPr>
        <w:pStyle w:val="ListBullet"/>
        <w:ind w:left="312" w:hanging="142"/>
      </w:pPr>
      <w:r>
        <w:t>细小、低对比或反光缺陷：在缩放时消失，需先确认像素尺寸、镜头、光源与曝光；高分辨率切块又会增加延迟与拼接误差。</w:t>
      </w:r>
    </w:p>
    <w:p>
      <w:pPr>
        <w:pStyle w:val="ListBullet"/>
        <w:ind w:left="312" w:hanging="142"/>
      </w:pPr>
      <w:r>
        <w:t>光照、姿态和批次变化：模型可能把正常反光/纹理判成缺陷；必须做跨批次与不同成像条件的验证。</w:t>
      </w:r>
    </w:p>
    <w:p>
      <w:pPr>
        <w:pStyle w:val="ListBullet"/>
        <w:ind w:left="312" w:hanging="142"/>
      </w:pPr>
      <w:r>
        <w:t>缺陷少且不均衡：某些缺陷几乎没有训练样本；正常样本异常检测可降低训练标注需求，但不能免去真实缺陷评测。</w:t>
      </w:r>
    </w:p>
    <w:p>
      <w:pPr>
        <w:pStyle w:val="ListBullet"/>
        <w:ind w:left="312" w:hanging="142"/>
      </w:pPr>
      <w:r>
        <w:t>误检与漏检的权衡：放低阈值多抓缺陷，也可能增加人工复检；放高阈值减少误报，却可能放过真实缺陷。</w:t>
      </w:r>
    </w:p>
    <w:p>
      <w:pPr>
        <w:pStyle w:val="ListBullet"/>
        <w:ind w:left="312" w:hanging="142"/>
      </w:pPr>
      <w:r>
        <w:t>工程问题：成像稳定性、标注一致性、推理速度、置信度校准和人工复核，决定实验结果能否转成可用流程（原文第 21–24 页）。</w:t>
      </w:r>
    </w:p>
    <w:p>
      <w:pPr>
        <w:pStyle w:val="Heading1"/>
      </w:pPr>
      <w:r>
        <w:t>5. 与你目前资源匹配的切入点</w:t>
      </w:r>
    </w:p>
    <w:p>
      <w:r>
        <w:t>【已有事实】你具备 C++、嵌入式和视频软件工程经验，当前需兼顾工作与非全日制硕士学习；导师给出的方向是工业元器件/产品视觉检测，具体产品、图像和缺陷标注尚未确认。</w:t>
      </w:r>
    </w:p>
    <w:p>
      <w:r>
        <w:t>【合理推断】先做“成像条件理解＋传统视觉小实验＋公开数据基线”比直接追复杂新模型更稳妥。用一类外观简单、可公开获取的数据完成：样本可视化→标签核查→传统阈值/边缘基线→一个预训练检测或异常检测基线→固定拆分、误检漏检分析。先用 Python 验证问题，再考虑发挥 C++ 部署优势。</w:t>
      </w:r>
    </w:p>
    <w:p>
      <w:r>
        <w:t>【待验证】导师能否提供真实器件图片、正常/缺陷数量、可用标注和成像装置？若只有少量缺陷，就优先评估正常样本异常检测；若已知缺陷类别且有框，监督检测更直接；若需量缺陷面积且有掩膜，才优先做分割。</w:t>
      </w:r>
    </w:p>
    <w:p>
      <w:pPr>
        <w:pStyle w:val="Heading1"/>
      </w:pPr>
      <w:r>
        <w:t>阅读后的最小产出</w:t>
      </w:r>
    </w:p>
    <w:p>
      <w:pPr>
        <w:pStyle w:val="ListBullet"/>
        <w:ind w:left="312" w:hanging="142"/>
      </w:pPr>
      <w:r>
        <w:t>画一张“业务问题→任务→标注→指标”技术树，并给每个分支写一个具体器件例子。</w:t>
      </w:r>
    </w:p>
    <w:p>
      <w:pPr>
        <w:pStyle w:val="ListBullet"/>
        <w:ind w:left="312" w:hanging="142"/>
      </w:pPr>
      <w:r>
        <w:t>做 2 张数据集卡：MVTec AD 与一个 PCB/器件相关公开集，记录图像、标签、拆分、许可、成像差距。</w:t>
      </w:r>
    </w:p>
    <w:p>
      <w:pPr>
        <w:pStyle w:val="ListBullet"/>
        <w:ind w:left="312" w:hanging="142"/>
      </w:pPr>
      <w:r>
        <w:t>向导师确认优先目标是整件 OK/NG、缺陷定位，还是缺陷面积/长度量化；这直接决定任务与标注。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62" w:bottom="907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58636D"/>
        <w:sz w:val="16"/>
      </w:rPr>
      <w:t xml:space="preserve">个人学习资料｜以原论文和数据集官方说明为准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8636D"/>
        <w:sz w:val="16"/>
      </w:rPr>
      <w:t>论文阅读参考 · 2026-09-17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微软雅黑" w:hAnsi="微软雅黑" w:eastAsia="微软雅黑"/>
      <w:color w:val="18314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677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831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rPr>
      <w:color w:val="5863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