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  <w:b/>
          <w:color w:val="183149"/>
          <w:sz w:val="40"/>
        </w:rPr>
        <w:t>工业视觉异常检测综述｜阅读参考</w:t>
      </w:r>
    </w:p>
    <w:p>
      <w:r>
        <w:rPr>
          <w:rFonts w:ascii="微软雅黑" w:hAnsi="微软雅黑" w:eastAsia="微软雅黑"/>
          <w:b w:val="0"/>
          <w:color w:val="006770"/>
          <w:sz w:val="20"/>
        </w:rPr>
        <w:t>当缺陷稀少、类别未知时，怎样利用正常样本识别异常</w:t>
      </w:r>
    </w:p>
    <w:p>
      <w:pPr>
        <w:pStyle w:val="Note"/>
      </w:pPr>
      <w:r>
        <w:t>原文：Li 等，A survey of deep learning for industrial visual anomaly detection，Artificial Intelligence Review 58:279 (2025)，DOI: 10.1007/s10462-025-11287-7。以下页码指本地 PDF 页码。</w:t>
      </w:r>
    </w:p>
    <w:p>
      <w:pPr>
        <w:ind w:left="198" w:right="198"/>
        <w:shd w:fill="EEF5F5"/>
      </w:pPr>
      <w:r>
        <w:rPr>
          <w:rFonts w:ascii="微软雅黑" w:hAnsi="微软雅黑" w:eastAsia="微软雅黑"/>
          <w:b/>
          <w:color w:val="006770"/>
          <w:sz w:val="19"/>
        </w:rPr>
        <w:t xml:space="preserve">一句话理解  </w:t>
      </w:r>
      <w:r>
        <w:t>这篇综述聚焦工业视觉异常检测（IAD），核心问题是“缺陷训练样本少甚至没有，仍能识别偏离正常的外观”。它重点讨论学习策略、方法家族、异常评分与定位，不等于完整的工业检测系统方案。</w:t>
      </w:r>
    </w:p>
    <w:p>
      <w:pPr>
        <w:pStyle w:val="Heading1"/>
      </w:pPr>
      <w:r>
        <w:t>1. 任务输出：异常检测与分类、检测、分割是什么关系？</w:t>
      </w:r>
    </w:p>
    <w:p>
      <w:r>
        <w:t>异常检测描述的是学习设定：模型怎样认识“正常”并识别未知缺陷。它可以输出图像级异常分数，也可以输出像素级异常热图；因此可服务整件 OK/NG 或区域定位。论文的主体不是通用分类/检测/分割教程（原文第 3–5 页）。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79"/>
        <w:gridCol w:w="2479"/>
        <w:gridCol w:w="2479"/>
        <w:gridCol w:w="2479"/>
      </w:tblGrid>
      <w:tr>
        <w:tc>
          <w:tcPr>
            <w:tcW w:type="dxa" w:w="1474"/>
            <w:vAlign w:val="center"/>
            <w:shd w:fill="DCEBED"/>
          </w:tcPr>
          <w:p>
            <w:pPr>
              <w:keepLines/>
              <w:spacing w:after="0"/>
            </w:pPr>
            <w:r>
              <w:rPr>
                <w:rFonts w:ascii="微软雅黑" w:hAnsi="微软雅黑" w:eastAsia="微软雅黑"/>
                <w:b/>
                <w:color w:val="183149"/>
                <w:sz w:val="17"/>
              </w:rPr>
              <w:t>输出/任务</w:t>
            </w:r>
          </w:p>
        </w:tc>
        <w:tc>
          <w:tcPr>
            <w:tcW w:type="dxa" w:w="2041"/>
            <w:vAlign w:val="center"/>
            <w:shd w:fill="DCEBED"/>
          </w:tcPr>
          <w:p>
            <w:pPr>
              <w:keepLines/>
              <w:spacing w:after="0"/>
            </w:pPr>
            <w:r>
              <w:rPr>
                <w:rFonts w:ascii="微软雅黑" w:hAnsi="微软雅黑" w:eastAsia="微软雅黑"/>
                <w:b/>
                <w:color w:val="183149"/>
                <w:sz w:val="17"/>
              </w:rPr>
              <w:t>问的问题</w:t>
            </w:r>
          </w:p>
        </w:tc>
        <w:tc>
          <w:tcPr>
            <w:tcW w:type="dxa" w:w="2268"/>
            <w:vAlign w:val="center"/>
            <w:shd w:fill="DCEBED"/>
          </w:tcPr>
          <w:p>
            <w:pPr>
              <w:keepLines/>
              <w:spacing w:after="0"/>
            </w:pPr>
            <w:r>
              <w:rPr>
                <w:rFonts w:ascii="微软雅黑" w:hAnsi="微软雅黑" w:eastAsia="微软雅黑"/>
                <w:b/>
                <w:color w:val="183149"/>
                <w:sz w:val="17"/>
              </w:rPr>
              <w:t>典型输出</w:t>
            </w:r>
          </w:p>
        </w:tc>
        <w:tc>
          <w:tcPr>
            <w:tcW w:type="dxa" w:w="2438"/>
            <w:vAlign w:val="center"/>
            <w:shd w:fill="DCEBED"/>
          </w:tcPr>
          <w:p>
            <w:pPr>
              <w:keepLines/>
              <w:spacing w:after="0"/>
            </w:pPr>
            <w:r>
              <w:rPr>
                <w:rFonts w:ascii="微软雅黑" w:hAnsi="微软雅黑" w:eastAsia="微软雅黑"/>
                <w:b/>
                <w:color w:val="183149"/>
                <w:sz w:val="17"/>
              </w:rPr>
              <w:t>限制</w:t>
            </w:r>
          </w:p>
        </w:tc>
      </w:tr>
      <w:tr>
        <w:tc>
          <w:tcPr>
            <w:tcW w:type="dxa" w:w="1474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图像级异常判定</w:t>
            </w:r>
          </w:p>
        </w:tc>
        <w:tc>
          <w:tcPr>
            <w:tcW w:type="dxa" w:w="2041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这件产品是否异常？</w:t>
            </w:r>
          </w:p>
        </w:tc>
        <w:tc>
          <w:tcPr>
            <w:tcW w:type="dxa" w:w="2268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异常分数＋阈值后的 OK/NG</w:t>
            </w:r>
          </w:p>
        </w:tc>
        <w:tc>
          <w:tcPr>
            <w:tcW w:type="dxa" w:w="2438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不说明具体缺陷类型和位置</w:t>
            </w:r>
          </w:p>
        </w:tc>
      </w:tr>
      <w:tr>
        <w:tc>
          <w:tcPr>
            <w:tcW w:type="dxa" w:w="1474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像素级异常定位</w:t>
            </w:r>
          </w:p>
        </w:tc>
        <w:tc>
          <w:tcPr>
            <w:tcW w:type="dxa" w:w="2041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异常大致出现在哪些像素？</w:t>
            </w:r>
          </w:p>
        </w:tc>
        <w:tc>
          <w:tcPr>
            <w:tcW w:type="dxa" w:w="2268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热图、二值化异常区域</w:t>
            </w:r>
          </w:p>
        </w:tc>
        <w:tc>
          <w:tcPr>
            <w:tcW w:type="dxa" w:w="2438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热图不一定等于准确边界；定位指标要看掩膜</w:t>
            </w:r>
          </w:p>
        </w:tc>
      </w:tr>
      <w:tr>
        <w:tc>
          <w:tcPr>
            <w:tcW w:type="dxa" w:w="1474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已知缺陷分类</w:t>
            </w:r>
          </w:p>
        </w:tc>
        <w:tc>
          <w:tcPr>
            <w:tcW w:type="dxa" w:w="2041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有无缺陷或是哪一种已知缺陷？</w:t>
            </w:r>
          </w:p>
        </w:tc>
        <w:tc>
          <w:tcPr>
            <w:tcW w:type="dxa" w:w="2268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整张图的 OK/NG 或类别</w:t>
            </w:r>
          </w:p>
        </w:tc>
        <w:tc>
          <w:tcPr>
            <w:tcW w:type="dxa" w:w="2438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不给出位置；通常需对应图像标签</w:t>
            </w:r>
          </w:p>
        </w:tc>
      </w:tr>
      <w:tr>
        <w:tc>
          <w:tcPr>
            <w:tcW w:type="dxa" w:w="1474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目标检测</w:t>
            </w:r>
          </w:p>
        </w:tc>
        <w:tc>
          <w:tcPr>
            <w:tcW w:type="dxa" w:w="2041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已知缺陷在哪、有几个？</w:t>
            </w:r>
          </w:p>
        </w:tc>
        <w:tc>
          <w:tcPr>
            <w:tcW w:type="dxa" w:w="2268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类别、边界框、置信度</w:t>
            </w:r>
          </w:p>
        </w:tc>
        <w:tc>
          <w:tcPr>
            <w:tcW w:type="dxa" w:w="2438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一般需缺陷框标签；未知缺陷可能漏检</w:t>
            </w:r>
          </w:p>
        </w:tc>
      </w:tr>
      <w:tr>
        <w:tc>
          <w:tcPr>
            <w:tcW w:type="dxa" w:w="1474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图像分割</w:t>
            </w:r>
          </w:p>
        </w:tc>
        <w:tc>
          <w:tcPr>
            <w:tcW w:type="dxa" w:w="2041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缺陷具体占哪些像素？</w:t>
            </w:r>
          </w:p>
        </w:tc>
        <w:tc>
          <w:tcPr>
            <w:tcW w:type="dxa" w:w="2268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缺陷掩膜</w:t>
            </w:r>
          </w:p>
        </w:tc>
        <w:tc>
          <w:tcPr>
            <w:tcW w:type="dxa" w:w="2438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全监督一般需掩膜；异常热图经阈值化也能形成粗定位，但不保证精确边界</w:t>
            </w:r>
          </w:p>
        </w:tc>
      </w:tr>
    </w:tbl>
    <w:p>
      <w:pPr>
        <w:spacing w:after="0"/>
      </w:pPr>
    </w:p>
    <w:p>
      <w:r>
        <w:t>典型选择：缺陷样本极少且正常图较多，先试异常检测；若缺陷类别稳定、标签足够且需明确类别，监督检测/分割更合适。两者可形成“异常筛查＋已知缺陷识别”的系统，但起步实验不必一次实现。</w:t>
      </w:r>
    </w:p>
    <w:p>
      <w:pPr>
        <w:pStyle w:val="Heading1"/>
      </w:pPr>
      <w:r>
        <w:t>2. 五种监督设定：到底需要什么标签？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79"/>
        <w:gridCol w:w="2479"/>
        <w:gridCol w:w="2479"/>
        <w:gridCol w:w="2479"/>
      </w:tblGrid>
      <w:tr>
        <w:tc>
          <w:tcPr>
            <w:tcW w:type="dxa" w:w="1417"/>
            <w:vAlign w:val="center"/>
            <w:shd w:fill="DCEBED"/>
          </w:tcPr>
          <w:p>
            <w:pPr>
              <w:keepLines/>
              <w:spacing w:after="0"/>
            </w:pPr>
            <w:r>
              <w:rPr>
                <w:rFonts w:ascii="微软雅黑" w:hAnsi="微软雅黑" w:eastAsia="微软雅黑"/>
                <w:b/>
                <w:color w:val="183149"/>
                <w:sz w:val="17"/>
              </w:rPr>
              <w:t>学习设定</w:t>
            </w:r>
          </w:p>
        </w:tc>
        <w:tc>
          <w:tcPr>
            <w:tcW w:type="dxa" w:w="2835"/>
            <w:vAlign w:val="center"/>
            <w:shd w:fill="DCEBED"/>
          </w:tcPr>
          <w:p>
            <w:pPr>
              <w:keepLines/>
              <w:spacing w:after="0"/>
            </w:pPr>
            <w:r>
              <w:rPr>
                <w:rFonts w:ascii="微软雅黑" w:hAnsi="微软雅黑" w:eastAsia="微软雅黑"/>
                <w:b/>
                <w:color w:val="183149"/>
                <w:sz w:val="17"/>
              </w:rPr>
              <w:t>训练阶段常见输入</w:t>
            </w:r>
          </w:p>
        </w:tc>
        <w:tc>
          <w:tcPr>
            <w:tcW w:type="dxa" w:w="1757"/>
            <w:vAlign w:val="center"/>
            <w:shd w:fill="DCEBED"/>
          </w:tcPr>
          <w:p>
            <w:pPr>
              <w:keepLines/>
              <w:spacing w:after="0"/>
            </w:pPr>
            <w:r>
              <w:rPr>
                <w:rFonts w:ascii="微软雅黑" w:hAnsi="微软雅黑" w:eastAsia="微软雅黑"/>
                <w:b/>
                <w:color w:val="183149"/>
                <w:sz w:val="17"/>
              </w:rPr>
              <w:t>缺陷样本是否必需</w:t>
            </w:r>
          </w:p>
        </w:tc>
        <w:tc>
          <w:tcPr>
            <w:tcW w:type="dxa" w:w="2268"/>
            <w:vAlign w:val="center"/>
            <w:shd w:fill="DCEBED"/>
          </w:tcPr>
          <w:p>
            <w:pPr>
              <w:keepLines/>
              <w:spacing w:after="0"/>
            </w:pPr>
            <w:r>
              <w:rPr>
                <w:rFonts w:ascii="微软雅黑" w:hAnsi="微软雅黑" w:eastAsia="微软雅黑"/>
                <w:b/>
                <w:color w:val="183149"/>
                <w:sz w:val="17"/>
              </w:rPr>
              <w:t>适用前提</w:t>
            </w:r>
          </w:p>
        </w:tc>
      </w:tr>
      <w:tr>
        <w:tc>
          <w:tcPr>
            <w:tcW w:type="dxa" w:w="1417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全监督</w:t>
            </w:r>
          </w:p>
        </w:tc>
        <w:tc>
          <w:tcPr>
            <w:tcW w:type="dxa" w:w="2835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正常及缺陷图，图像标签/框/掩膜取决于任务</w:t>
            </w:r>
          </w:p>
        </w:tc>
        <w:tc>
          <w:tcPr>
            <w:tcW w:type="dxa" w:w="1757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通常需要</w:t>
            </w:r>
          </w:p>
        </w:tc>
        <w:tc>
          <w:tcPr>
            <w:tcW w:type="dxa" w:w="2268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已知缺陷相对充分且标注可靠</w:t>
            </w:r>
          </w:p>
        </w:tc>
      </w:tr>
      <w:tr>
        <w:tc>
          <w:tcPr>
            <w:tcW w:type="dxa" w:w="1417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半监督</w:t>
            </w:r>
          </w:p>
        </w:tc>
        <w:tc>
          <w:tcPr>
            <w:tcW w:type="dxa" w:w="2835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少量带标签样本＋较多无标签样本；定义依方法而异</w:t>
            </w:r>
          </w:p>
        </w:tc>
        <w:tc>
          <w:tcPr>
            <w:tcW w:type="dxa" w:w="1757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不一定大量，但有标注成本</w:t>
            </w:r>
          </w:p>
        </w:tc>
        <w:tc>
          <w:tcPr>
            <w:tcW w:type="dxa" w:w="2268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需仔细确认论文所谓“半监督”具体协议</w:t>
            </w:r>
          </w:p>
        </w:tc>
      </w:tr>
      <w:tr>
        <w:tc>
          <w:tcPr>
            <w:tcW w:type="dxa" w:w="1417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弱监督</w:t>
            </w:r>
          </w:p>
        </w:tc>
        <w:tc>
          <w:tcPr>
            <w:tcW w:type="dxa" w:w="2835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常为图像级 OK/NG 标签，无像素掩膜</w:t>
            </w:r>
          </w:p>
        </w:tc>
        <w:tc>
          <w:tcPr>
            <w:tcW w:type="dxa" w:w="1757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通常需一定异常图</w:t>
            </w:r>
          </w:p>
        </w:tc>
        <w:tc>
          <w:tcPr>
            <w:tcW w:type="dxa" w:w="2268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只知道坏件，不知道缺陷精确位置</w:t>
            </w:r>
          </w:p>
        </w:tc>
      </w:tr>
      <w:tr>
        <w:tc>
          <w:tcPr>
            <w:tcW w:type="dxa" w:w="1417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自监督</w:t>
            </w:r>
          </w:p>
        </w:tc>
        <w:tc>
          <w:tcPr>
            <w:tcW w:type="dxa" w:w="2835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正常或无标签图，构造预训练/伪任务</w:t>
            </w:r>
          </w:p>
        </w:tc>
        <w:tc>
          <w:tcPr>
            <w:tcW w:type="dxa" w:w="1757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不一定</w:t>
            </w:r>
          </w:p>
        </w:tc>
        <w:tc>
          <w:tcPr>
            <w:tcW w:type="dxa" w:w="2268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伪异常能否代表真实缺陷需检验</w:t>
            </w:r>
          </w:p>
        </w:tc>
      </w:tr>
      <w:tr>
        <w:tc>
          <w:tcPr>
            <w:tcW w:type="dxa" w:w="1417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无监督/正常样本训练</w:t>
            </w:r>
          </w:p>
        </w:tc>
        <w:tc>
          <w:tcPr>
            <w:tcW w:type="dxa" w:w="2835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通常只收集正常训练图，无缺陷标签</w:t>
            </w:r>
          </w:p>
        </w:tc>
        <w:tc>
          <w:tcPr>
            <w:tcW w:type="dxa" w:w="1757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训练不必需；测试仍需要</w:t>
            </w:r>
          </w:p>
        </w:tc>
        <w:tc>
          <w:tcPr>
            <w:tcW w:type="dxa" w:w="2268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正常样本覆盖正常变化，且需缺陷测试集验证</w:t>
            </w:r>
          </w:p>
        </w:tc>
      </w:tr>
    </w:tbl>
    <w:p>
      <w:pPr>
        <w:spacing w:after="0"/>
      </w:pPr>
    </w:p>
    <w:p>
      <w:r>
        <w:t>这里没有“一种标签要求适用于所有异常检测算法”的答案。判断一篇方法是否与你的数据匹配，应翻到其训练协议：训练集有没有真实缺陷？是否用图像级标签？像素掩膜只在训练/测试哪一步使用？综述第 4–12 页给出监督策略，但个别方法归类和表格有不一致处，以上述实际协议为准。</w:t>
      </w:r>
    </w:p>
    <w:p>
      <w:pPr>
        <w:pStyle w:val="Heading1"/>
      </w:pPr>
      <w:r>
        <w:t>3. 先认识两个可复现方法家族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79"/>
        <w:gridCol w:w="2479"/>
        <w:gridCol w:w="2479"/>
        <w:gridCol w:w="2479"/>
      </w:tblGrid>
      <w:tr>
        <w:tc>
          <w:tcPr>
            <w:tcW w:type="dxa" w:w="1928"/>
            <w:vAlign w:val="center"/>
            <w:shd w:fill="DCEBED"/>
          </w:tcPr>
          <w:p>
            <w:pPr>
              <w:keepLines/>
              <w:spacing w:after="0"/>
            </w:pPr>
            <w:r>
              <w:rPr>
                <w:rFonts w:ascii="微软雅黑" w:hAnsi="微软雅黑" w:eastAsia="微软雅黑"/>
                <w:b/>
                <w:color w:val="183149"/>
                <w:sz w:val="17"/>
              </w:rPr>
              <w:t>家族</w:t>
            </w:r>
          </w:p>
        </w:tc>
        <w:tc>
          <w:tcPr>
            <w:tcW w:type="dxa" w:w="3175"/>
            <w:vAlign w:val="center"/>
            <w:shd w:fill="DCEBED"/>
          </w:tcPr>
          <w:p>
            <w:pPr>
              <w:keepLines/>
              <w:spacing w:after="0"/>
            </w:pPr>
            <w:r>
              <w:rPr>
                <w:rFonts w:ascii="微软雅黑" w:hAnsi="微软雅黑" w:eastAsia="微软雅黑"/>
                <w:b/>
                <w:color w:val="183149"/>
                <w:sz w:val="17"/>
              </w:rPr>
              <w:t>基本想法</w:t>
            </w:r>
          </w:p>
        </w:tc>
        <w:tc>
          <w:tcPr>
            <w:tcW w:type="dxa" w:w="1871"/>
            <w:vAlign w:val="center"/>
            <w:shd w:fill="DCEBED"/>
          </w:tcPr>
          <w:p>
            <w:pPr>
              <w:keepLines/>
              <w:spacing w:after="0"/>
            </w:pPr>
            <w:r>
              <w:rPr>
                <w:rFonts w:ascii="微软雅黑" w:hAnsi="微软雅黑" w:eastAsia="微软雅黑"/>
                <w:b/>
                <w:color w:val="183149"/>
                <w:sz w:val="17"/>
              </w:rPr>
              <w:t>适合你读什么</w:t>
            </w:r>
          </w:p>
        </w:tc>
        <w:tc>
          <w:tcPr>
            <w:tcW w:type="dxa" w:w="1871"/>
            <w:vAlign w:val="center"/>
            <w:shd w:fill="DCEBED"/>
          </w:tcPr>
          <w:p>
            <w:pPr>
              <w:keepLines/>
              <w:spacing w:after="0"/>
            </w:pPr>
            <w:r>
              <w:rPr>
                <w:rFonts w:ascii="微软雅黑" w:hAnsi="微软雅黑" w:eastAsia="微软雅黑"/>
                <w:b/>
                <w:color w:val="183149"/>
                <w:sz w:val="17"/>
              </w:rPr>
              <w:t>主要风险</w:t>
            </w:r>
          </w:p>
        </w:tc>
      </w:tr>
      <w:tr>
        <w:tc>
          <w:tcPr>
            <w:tcW w:type="dxa" w:w="1928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预训练特征＋正常分布/记忆库</w:t>
            </w:r>
          </w:p>
        </w:tc>
        <w:tc>
          <w:tcPr>
            <w:tcW w:type="dxa" w:w="3175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把正常图像块映射为特征；测试块偏离正常越多，异常分数越高。代表：PaDiM、PatchCore。</w:t>
            </w:r>
          </w:p>
        </w:tc>
        <w:tc>
          <w:tcPr>
            <w:tcW w:type="dxa" w:w="1871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特征层、图像块、近邻/分布、异常热图、阈值</w:t>
            </w:r>
          </w:p>
        </w:tc>
        <w:tc>
          <w:tcPr>
            <w:tcW w:type="dxa" w:w="1871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纹理/姿态/光照变化导致误报；记忆库占空间，分辨率影响成本</w:t>
            </w:r>
          </w:p>
        </w:tc>
      </w:tr>
      <w:tr>
        <w:tc>
          <w:tcPr>
            <w:tcW w:type="dxa" w:w="1928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重建＋判别</w:t>
            </w:r>
          </w:p>
        </w:tc>
        <w:tc>
          <w:tcPr>
            <w:tcW w:type="dxa" w:w="3175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用正常外观重建输入，比较残差或训练判别器；DRAEM 使用合成异常。</w:t>
            </w:r>
          </w:p>
        </w:tc>
        <w:tc>
          <w:tcPr>
            <w:tcW w:type="dxa" w:w="1871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重建误差、合成异常与真实异常的差异</w:t>
            </w:r>
          </w:p>
        </w:tc>
        <w:tc>
          <w:tcPr>
            <w:tcW w:type="dxa" w:w="1871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模型可能把异常也重建好，或只学会识别合成痕迹</w:t>
            </w:r>
          </w:p>
        </w:tc>
      </w:tr>
      <w:tr>
        <w:tc>
          <w:tcPr>
            <w:tcW w:type="dxa" w:w="1928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视觉-语言/基础模型</w:t>
            </w:r>
          </w:p>
        </w:tc>
        <w:tc>
          <w:tcPr>
            <w:tcW w:type="dxa" w:w="3175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用图文表示或提示进行零/少样本异常判断。</w:t>
            </w:r>
          </w:p>
        </w:tc>
        <w:tc>
          <w:tcPr>
            <w:tcW w:type="dxa" w:w="1871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作为后续比较，不作为第一基线</w:t>
            </w:r>
          </w:p>
        </w:tc>
        <w:tc>
          <w:tcPr>
            <w:tcW w:type="dxa" w:w="1871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提示、领域差异、模型大小使结果复杂，未必符合实际器件</w:t>
            </w:r>
          </w:p>
        </w:tc>
      </w:tr>
    </w:tbl>
    <w:p>
      <w:pPr>
        <w:spacing w:after="0"/>
      </w:pPr>
    </w:p>
    <w:p>
      <w:r>
        <w:t>建议先读 PaDiM 与 PatchCore 的原论文/代码和本综述相应章节（约第 13–33 页），复现一个即可。无需起步时同时追逐扩散模型、视觉语言模型和 3D 检测。</w:t>
      </w:r>
    </w:p>
    <w:p>
      <w:pPr>
        <w:pStyle w:val="Heading1"/>
      </w:pPr>
      <w:r>
        <w:t>4. 数据集与指标：用同一协议比较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5"/>
        <w:gridCol w:w="3305"/>
        <w:gridCol w:w="3305"/>
      </w:tblGrid>
      <w:tr>
        <w:tc>
          <w:tcPr>
            <w:tcW w:type="dxa" w:w="1814"/>
            <w:vAlign w:val="center"/>
            <w:shd w:fill="DCEBED"/>
          </w:tcPr>
          <w:p>
            <w:pPr>
              <w:keepLines/>
              <w:spacing w:after="0"/>
            </w:pPr>
            <w:r>
              <w:rPr>
                <w:rFonts w:ascii="微软雅黑" w:hAnsi="微软雅黑" w:eastAsia="微软雅黑"/>
                <w:b/>
                <w:color w:val="183149"/>
                <w:sz w:val="17"/>
              </w:rPr>
              <w:t>数据集</w:t>
            </w:r>
          </w:p>
        </w:tc>
        <w:tc>
          <w:tcPr>
            <w:tcW w:type="dxa" w:w="3118"/>
            <w:vAlign w:val="center"/>
            <w:shd w:fill="DCEBED"/>
          </w:tcPr>
          <w:p>
            <w:pPr>
              <w:keepLines/>
              <w:spacing w:after="0"/>
            </w:pPr>
            <w:r>
              <w:rPr>
                <w:rFonts w:ascii="微软雅黑" w:hAnsi="微软雅黑" w:eastAsia="微软雅黑"/>
                <w:b/>
                <w:color w:val="183149"/>
                <w:sz w:val="17"/>
              </w:rPr>
              <w:t>为什么值得看</w:t>
            </w:r>
          </w:p>
        </w:tc>
        <w:tc>
          <w:tcPr>
            <w:tcW w:type="dxa" w:w="3288"/>
            <w:vAlign w:val="center"/>
            <w:shd w:fill="DCEBED"/>
          </w:tcPr>
          <w:p>
            <w:pPr>
              <w:keepLines/>
              <w:spacing w:after="0"/>
            </w:pPr>
            <w:r>
              <w:rPr>
                <w:rFonts w:ascii="微软雅黑" w:hAnsi="微软雅黑" w:eastAsia="微软雅黑"/>
                <w:b/>
                <w:color w:val="183149"/>
                <w:sz w:val="17"/>
              </w:rPr>
              <w:t>主要注意</w:t>
            </w:r>
          </w:p>
        </w:tc>
      </w:tr>
      <w:tr>
        <w:tc>
          <w:tcPr>
            <w:tcW w:type="dxa" w:w="1814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MVTec AD</w:t>
            </w:r>
          </w:p>
        </w:tc>
        <w:tc>
          <w:tcPr>
            <w:tcW w:type="dxa" w:w="3118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15 类工业物体/纹理；常用正常训练、正常/异常测试和缺陷掩膜</w:t>
            </w:r>
          </w:p>
        </w:tc>
        <w:tc>
          <w:tcPr>
            <w:tcW w:type="dxa" w:w="3288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很适合基线，但单一公开基准成绩不能证明生产适用</w:t>
            </w:r>
          </w:p>
        </w:tc>
      </w:tr>
      <w:tr>
        <w:tc>
          <w:tcPr>
            <w:tcW w:type="dxa" w:w="1814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VisA</w:t>
            </w:r>
          </w:p>
        </w:tc>
        <w:tc>
          <w:tcPr>
            <w:tcW w:type="dxa" w:w="3118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12 类、含 Pcb1–Pcb4 子集；更接近电路板外观测试</w:t>
            </w:r>
          </w:p>
        </w:tc>
        <w:tc>
          <w:tcPr>
            <w:tcW w:type="dxa" w:w="3288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PCB 子集不等于手机元器件；核对官方划分/许可/掩膜</w:t>
            </w:r>
          </w:p>
        </w:tc>
      </w:tr>
      <w:tr>
        <w:tc>
          <w:tcPr>
            <w:tcW w:type="dxa" w:w="1814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MVTec LOCO AD</w:t>
            </w:r>
          </w:p>
        </w:tc>
        <w:tc>
          <w:tcPr>
            <w:tcW w:type="dxa" w:w="3118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同时含结构性与逻辑性异常</w:t>
            </w:r>
          </w:p>
        </w:tc>
        <w:tc>
          <w:tcPr>
            <w:tcW w:type="dxa" w:w="3288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装配关系问题可能不是普通局部纹理异常可解决</w:t>
            </w:r>
          </w:p>
        </w:tc>
      </w:tr>
      <w:tr>
        <w:tc>
          <w:tcPr>
            <w:tcW w:type="dxa" w:w="1814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AeBAD、MPDD</w:t>
            </w:r>
          </w:p>
        </w:tc>
        <w:tc>
          <w:tcPr>
            <w:tcW w:type="dxa" w:w="3118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可观察视角、背景、光照等变化对方法影响</w:t>
            </w:r>
          </w:p>
        </w:tc>
        <w:tc>
          <w:tcPr>
            <w:tcW w:type="dxa" w:w="3288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任务设置与数据协议不同，别与 MVTec 分数直接比</w:t>
            </w:r>
          </w:p>
        </w:tc>
      </w:tr>
      <w:tr>
        <w:tc>
          <w:tcPr>
            <w:tcW w:type="dxa" w:w="1814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3D/多视角类数据</w:t>
            </w:r>
          </w:p>
        </w:tc>
        <w:tc>
          <w:tcPr>
            <w:tcW w:type="dxa" w:w="3118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当 2D 无法反映形状、深度时有价值</w:t>
            </w:r>
          </w:p>
        </w:tc>
        <w:tc>
          <w:tcPr>
            <w:tcW w:type="dxa" w:w="3288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数据采集、算力与系统复杂度明显提高</w:t>
            </w:r>
          </w:p>
        </w:tc>
      </w:tr>
    </w:tbl>
    <w:p>
      <w:pPr>
        <w:spacing w:after="0"/>
      </w:pPr>
    </w:p>
    <w:p>
      <w:r>
        <w:t>论文约第 46–48 页梳理数据集。你可先选 MVTec AD 的一个物体类完成全流程，再挑 VisA 的一个 PCB 类做更接近器件的转移检验。数据集卡应记录正常/异常样本数、缺陷类型、分辨率、掩膜、官方划分、许可及与目标器件的差异。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5"/>
        <w:gridCol w:w="3305"/>
        <w:gridCol w:w="3305"/>
      </w:tblGrid>
      <w:tr>
        <w:tc>
          <w:tcPr>
            <w:tcW w:type="dxa" w:w="1757"/>
            <w:vAlign w:val="center"/>
            <w:shd w:fill="DCEBED"/>
          </w:tcPr>
          <w:p>
            <w:pPr>
              <w:keepLines/>
              <w:spacing w:after="0"/>
            </w:pPr>
            <w:r>
              <w:rPr>
                <w:rFonts w:ascii="微软雅黑" w:hAnsi="微软雅黑" w:eastAsia="微软雅黑"/>
                <w:b/>
                <w:color w:val="183149"/>
                <w:sz w:val="17"/>
              </w:rPr>
              <w:t>指标</w:t>
            </w:r>
          </w:p>
        </w:tc>
        <w:tc>
          <w:tcPr>
            <w:tcW w:type="dxa" w:w="3175"/>
            <w:vAlign w:val="center"/>
            <w:shd w:fill="DCEBED"/>
          </w:tcPr>
          <w:p>
            <w:pPr>
              <w:keepLines/>
              <w:spacing w:after="0"/>
            </w:pPr>
            <w:r>
              <w:rPr>
                <w:rFonts w:ascii="微软雅黑" w:hAnsi="微软雅黑" w:eastAsia="微软雅黑"/>
                <w:b/>
                <w:color w:val="183149"/>
                <w:sz w:val="17"/>
              </w:rPr>
              <w:t>读法</w:t>
            </w:r>
          </w:p>
        </w:tc>
        <w:tc>
          <w:tcPr>
            <w:tcW w:type="dxa" w:w="3288"/>
            <w:vAlign w:val="center"/>
            <w:shd w:fill="DCEBED"/>
          </w:tcPr>
          <w:p>
            <w:pPr>
              <w:keepLines/>
              <w:spacing w:after="0"/>
            </w:pPr>
            <w:r>
              <w:rPr>
                <w:rFonts w:ascii="微软雅黑" w:hAnsi="微软雅黑" w:eastAsia="微软雅黑"/>
                <w:b/>
                <w:color w:val="183149"/>
                <w:sz w:val="17"/>
              </w:rPr>
              <w:t>实际决策价值</w:t>
            </w:r>
          </w:p>
        </w:tc>
      </w:tr>
      <w:tr>
        <w:tc>
          <w:tcPr>
            <w:tcW w:type="dxa" w:w="1757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图像级 AUROC</w:t>
            </w:r>
          </w:p>
        </w:tc>
        <w:tc>
          <w:tcPr>
            <w:tcW w:type="dxa" w:w="3175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所有阈值下正常/异常排序能力</w:t>
            </w:r>
          </w:p>
        </w:tc>
        <w:tc>
          <w:tcPr>
            <w:tcW w:type="dxa" w:w="3288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易对比研究方法，但不能直接告诉产线阈值</w:t>
            </w:r>
          </w:p>
        </w:tc>
      </w:tr>
      <w:tr>
        <w:tc>
          <w:tcPr>
            <w:tcW w:type="dxa" w:w="1757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像素级 AUROC、AUPRO</w:t>
            </w:r>
          </w:p>
        </w:tc>
        <w:tc>
          <w:tcPr>
            <w:tcW w:type="dxa" w:w="3175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热图在像素或缺陷区域层面的定位能力</w:t>
            </w:r>
          </w:p>
        </w:tc>
        <w:tc>
          <w:tcPr>
            <w:tcW w:type="dxa" w:w="3288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需遵循官方实现/协议；小缺陷不能只看背景主导的像素指标</w:t>
            </w:r>
          </w:p>
        </w:tc>
      </w:tr>
      <w:tr>
        <w:tc>
          <w:tcPr>
            <w:tcW w:type="dxa" w:w="1757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Precision、Recall、F1</w:t>
            </w:r>
          </w:p>
        </w:tc>
        <w:tc>
          <w:tcPr>
            <w:tcW w:type="dxa" w:w="3175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指定阈值下误报和漏报的平衡</w:t>
            </w:r>
          </w:p>
        </w:tc>
        <w:tc>
          <w:tcPr>
            <w:tcW w:type="dxa" w:w="3288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配混淆矩阵、每类缺陷召回；阈值必须由验证集决定</w:t>
            </w:r>
          </w:p>
        </w:tc>
      </w:tr>
      <w:tr>
        <w:tc>
          <w:tcPr>
            <w:tcW w:type="dxa" w:w="1757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延迟、内存、稳定性</w:t>
            </w:r>
          </w:p>
        </w:tc>
        <w:tc>
          <w:tcPr>
            <w:tcW w:type="dxa" w:w="3175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每张图耗时/峰值资源及跨条件表现</w:t>
            </w:r>
          </w:p>
        </w:tc>
        <w:tc>
          <w:tcPr>
            <w:tcW w:type="dxa" w:w="3288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后续才能判断能否部署到目标工位或端侧</w:t>
            </w:r>
          </w:p>
        </w:tc>
      </w:tr>
    </w:tbl>
    <w:p>
      <w:pPr>
        <w:spacing w:after="0"/>
      </w:pPr>
    </w:p>
    <w:p>
      <w:pPr>
        <w:ind w:left="198" w:right="198"/>
        <w:shd w:fill="EEF5F5"/>
      </w:pPr>
      <w:r>
        <w:rPr>
          <w:rFonts w:ascii="微软雅黑" w:hAnsi="微软雅黑" w:eastAsia="微软雅黑"/>
          <w:b/>
          <w:color w:val="006770"/>
          <w:sz w:val="19"/>
        </w:rPr>
        <w:t xml:space="preserve">重要校正  </w:t>
      </w:r>
      <w:r>
        <w:t>论文第 50 页对 AUPRO 的表述/公式不宜照搬；请按原始数据集与评测代码核实其“区域重叠—误报率”计算。论文第 51 页说明许多分数来自不同原始论文的不同实验协议，不能直接据综述表格给方法排名。</w:t>
      </w:r>
    </w:p>
    <w:p>
      <w:pPr>
        <w:pStyle w:val="Heading1"/>
      </w:pPr>
      <w:r>
        <w:t>5. 眼下最需要识别的失败模式</w:t>
      </w:r>
    </w:p>
    <w:p>
      <w:pPr>
        <w:pStyle w:val="ListBullet"/>
        <w:ind w:left="312" w:hanging="142"/>
      </w:pPr>
      <w:r>
        <w:t>细小缺陷：热图被下采样平滑，图像级分数也可能被正常区域稀释；需核对缺陷在原图中占多少像素。</w:t>
      </w:r>
    </w:p>
    <w:p>
      <w:pPr>
        <w:pStyle w:val="ListBullet"/>
        <w:ind w:left="312" w:hanging="142"/>
      </w:pPr>
      <w:r>
        <w:t>正常外观变化：反光、纹理、姿态、批次或镜头变化超出正常训练集，就可能触发大量假阳性。</w:t>
      </w:r>
    </w:p>
    <w:p>
      <w:pPr>
        <w:pStyle w:val="ListBullet"/>
        <w:ind w:left="312" w:hanging="142"/>
      </w:pPr>
      <w:r>
        <w:t>未知缺陷与结构异常：结构性表面破损较易由局部特征捕捉；部件装配关系或缺件需要空间/语义关系，单纯局部热图可能不够。</w:t>
      </w:r>
    </w:p>
    <w:p>
      <w:pPr>
        <w:pStyle w:val="ListBullet"/>
        <w:ind w:left="312" w:hanging="142"/>
      </w:pPr>
      <w:r>
        <w:t>阈值迁移：公开集上的 AUROC 再高，换产线后固定阈值仍可能造成误检或漏检；必须报告验证阈值和测试集混淆矩阵。</w:t>
      </w:r>
    </w:p>
    <w:p>
      <w:pPr>
        <w:pStyle w:val="ListBullet"/>
        <w:ind w:left="312" w:hanging="142"/>
      </w:pPr>
      <w:r>
        <w:t>标注与评测成本：训练可无缺陷标签，但独立测试仍要真实 NG 样本；若声称像素定位有效，需要可信的缺陷掩膜。</w:t>
      </w:r>
    </w:p>
    <w:p>
      <w:pPr>
        <w:pStyle w:val="Heading1"/>
      </w:pPr>
      <w:r>
        <w:t>6. 与你当前条件相匹配的最小实验</w:t>
      </w:r>
    </w:p>
    <w:p>
      <w:r>
        <w:t>【已有事实】目前尚未确认导师手中的真实器件数据、拍摄条件和可用标注；你的强项是 C++/软件工程，研究时间需与工作平衡。</w:t>
      </w:r>
    </w:p>
    <w:p>
      <w:r>
        <w:t>【合理推断】第一阶段仅做 2D 正常样本异常检测基线：选 MVTec AD 单类，确认训练仅用正常图；跑 PaDiM 或 PatchCore；保存图像分数与热图；报告图像 AUROC、像素 AUROC/标准 AUPRO、验证集阈值下的误检/漏检、每张推理时间和典型失败图。第二阶段尝试 VisA Pcb 子集，不改变方法与评测脚本，观察迁移。</w:t>
      </w:r>
    </w:p>
    <w:p>
      <w:r>
        <w:t>【待验证】是否允许使用预训练权重？可用 GPU/显存多少？导师提供的图像是否是受控 2D RGB，缺陷是否主要为表面外观，是否有不同批次/光照条件？这些答案决定公开数据实验能否成为开题题目基础。</w:t>
      </w:r>
    </w:p>
    <w:p>
      <w:pPr>
        <w:pStyle w:val="Heading1"/>
      </w:pPr>
      <w:r>
        <w:t>阅读后的最小产出</w:t>
      </w:r>
    </w:p>
    <w:p>
      <w:pPr>
        <w:pStyle w:val="ListBullet"/>
        <w:ind w:left="312" w:hanging="142"/>
      </w:pPr>
      <w:r>
        <w:t>为 MVTec AD 和 VisA 各写一张数据集卡，特别核对 Pcb1–Pcb4 的实际图像与标注。</w:t>
      </w:r>
    </w:p>
    <w:p>
      <w:pPr>
        <w:pStyle w:val="ListBullet"/>
        <w:ind w:left="312" w:hanging="142"/>
      </w:pPr>
      <w:r>
        <w:t>绘一张“训练数据/标签→异常分数→阈值→OK/NG 与热图→评价”的流程图。</w:t>
      </w:r>
    </w:p>
    <w:p>
      <w:pPr>
        <w:pStyle w:val="ListBullet"/>
        <w:ind w:left="312" w:hanging="142"/>
      </w:pPr>
      <w:r>
        <w:t>记下至少 3 个真实失败样例：微小缺陷漏检、正常反光误报、结构/逻辑异常错判。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62" w:bottom="907" w:left="1162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微软雅黑" w:hAnsi="微软雅黑" w:eastAsia="微软雅黑"/>
        <w:b w:val="0"/>
        <w:color w:val="58636D"/>
        <w:sz w:val="16"/>
      </w:rPr>
      <w:t xml:space="preserve">个人学习资料｜以原论文和数据集官方说明为准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微软雅黑" w:hAnsi="微软雅黑" w:eastAsia="微软雅黑"/>
        <w:b w:val="0"/>
        <w:color w:val="58636D"/>
        <w:sz w:val="16"/>
      </w:rPr>
      <w:t>论文阅读参考 · 2026-09-17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8" w:lineRule="auto"/>
    </w:pPr>
    <w:rPr>
      <w:rFonts w:ascii="微软雅黑" w:hAnsi="微软雅黑" w:eastAsia="微软雅黑"/>
      <w:color w:val="183149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00677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00677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18314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te">
    <w:name w:val="Note"/>
    <w:basedOn w:val="Normal"/>
    <w:rPr>
      <w:color w:val="58636D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