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rFonts w:ascii="Calibri" w:hAnsi="Calibri" w:eastAsia="Microsoft YaHei" w:cs="Calibri"/>
          <w:b/>
          <w:i w:val="0"/>
          <w:color w:val="000000"/>
          <w:sz w:val="48"/>
        </w:rPr>
        <w:t>IMPACT 技术报告</w:t>
      </w:r>
    </w:p>
    <w:p>
      <w:pPr>
        <w:spacing w:before="0" w:after="240" w:line="264" w:lineRule="auto"/>
      </w:pPr>
      <w:r>
        <w:rPr>
          <w:rFonts w:ascii="Calibri" w:hAnsi="Calibri" w:eastAsia="Microsoft YaHei" w:cs="Calibri"/>
          <w:b w:val="0"/>
          <w:i w:val="0"/>
          <w:color w:val="5A5A5A"/>
          <w:sz w:val="22"/>
        </w:rPr>
        <w:t>基于《IMPACT: A Dataset for Multi-Granularity Human Procedural Action Understanding in Industrial Assembly》的中文深度技术解读</w:t>
      </w:r>
    </w:p>
    <w:tbl>
      <w:tblPr>
        <w:tblW w:type="dxa" w:w="9360"/>
        <w:jc w:val="left"/>
        <w:tblLayout w:type="fixed"/>
        <w:tblLook w:firstColumn="1" w:firstRow="1" w:lastColumn="0" w:lastRow="0" w:noHBand="0" w:noVBand="1" w:val="04A0"/>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Pr>
      <w:tblGrid>
        <w:gridCol w:w="2088"/>
        <w:gridCol w:w="7272"/>
      </w:tblGrid>
      <w:tr>
        <w:tc>
          <w:tcPr>
            <w:tcW w:type="dxa" w:w="2088"/>
            <w:vAlign w:val="center"/>
            <w:tcMar>
              <w:top w:w="80" w:type="dxa"/>
              <w:bottom w:w="80" w:type="dxa"/>
              <w:start w:w="120" w:type="dxa"/>
              <w:end w:w="120" w:type="dxa"/>
            </w:tcMar>
            <w:shd w:fill="F2F4F7"/>
          </w:tcPr>
          <w:p>
            <w:pPr>
              <w:spacing w:before="0" w:after="0" w:line="252" w:lineRule="auto"/>
              <w:jc w:val="center"/>
            </w:pPr>
            <w:r/>
            <w:r>
              <w:rPr>
                <w:rFonts w:ascii="Calibri" w:hAnsi="Calibri" w:eastAsia="Microsoft YaHei" w:cs="Calibri"/>
                <w:b/>
                <w:i w:val="0"/>
                <w:color w:val="1F4D78"/>
                <w:sz w:val="17"/>
              </w:rPr>
              <w:t>项目</w:t>
            </w:r>
          </w:p>
        </w:tc>
        <w:tc>
          <w:tcPr>
            <w:tcW w:type="dxa" w:w="7272"/>
            <w:vAlign w:val="center"/>
            <w:tcMar>
              <w:top w:w="80" w:type="dxa"/>
              <w:bottom w:w="80" w:type="dxa"/>
              <w:start w:w="120" w:type="dxa"/>
              <w:end w:w="120" w:type="dxa"/>
            </w:tcMar>
            <w:shd w:fill="F2F4F7"/>
          </w:tcPr>
          <w:p>
            <w:pPr>
              <w:spacing w:before="0" w:after="0" w:line="252" w:lineRule="auto"/>
              <w:jc w:val="center"/>
            </w:pPr>
            <w:r/>
            <w:r>
              <w:rPr>
                <w:rFonts w:ascii="Calibri" w:hAnsi="Calibri" w:eastAsia="Microsoft YaHei" w:cs="Calibri"/>
                <w:b/>
                <w:i w:val="0"/>
                <w:color w:val="1F4D78"/>
                <w:sz w:val="17"/>
              </w:rPr>
              <w:t>内容</w:t>
            </w:r>
          </w:p>
        </w:tc>
      </w:tr>
      <w:tr>
        <w:tc>
          <w:tcPr>
            <w:tcW w:type="dxa" w:w="2088"/>
          </w:tcPr>
          <w:p>
            <w:pPr>
              <w:spacing w:before="0" w:after="0" w:line="252" w:lineRule="auto"/>
              <w:jc w:val="left"/>
            </w:pPr>
            <w:r/>
            <w:r>
              <w:rPr>
                <w:rFonts w:ascii="Calibri" w:hAnsi="Calibri" w:eastAsia="Microsoft YaHei" w:cs="Calibri"/>
                <w:b w:val="0"/>
                <w:i w:val="0"/>
                <w:sz w:val="17"/>
              </w:rPr>
              <w:t>论文题目</w:t>
            </w:r>
          </w:p>
        </w:tc>
        <w:tc>
          <w:tcPr>
            <w:tcW w:type="dxa" w:w="7272"/>
          </w:tcPr>
          <w:p>
            <w:pPr>
              <w:spacing w:before="0" w:after="0" w:line="252" w:lineRule="auto"/>
              <w:jc w:val="center"/>
            </w:pPr>
            <w:r/>
            <w:r>
              <w:rPr>
                <w:rFonts w:ascii="Calibri" w:hAnsi="Calibri" w:eastAsia="Microsoft YaHei" w:cs="Calibri"/>
                <w:b w:val="0"/>
                <w:i w:val="0"/>
                <w:sz w:val="17"/>
              </w:rPr>
              <w:t>IMPACT: A Dataset for Multi-Granularity Human Procedural Action Understanding in Industrial Assembly</w:t>
            </w:r>
          </w:p>
        </w:tc>
      </w:tr>
      <w:tr>
        <w:tc>
          <w:tcPr>
            <w:tcW w:type="dxa" w:w="2088"/>
          </w:tcPr>
          <w:p>
            <w:pPr>
              <w:spacing w:before="0" w:after="0" w:line="252" w:lineRule="auto"/>
              <w:jc w:val="left"/>
            </w:pPr>
            <w:r/>
            <w:r>
              <w:rPr>
                <w:rFonts w:ascii="Calibri" w:hAnsi="Calibri" w:eastAsia="Microsoft YaHei" w:cs="Calibri"/>
                <w:b w:val="0"/>
                <w:i w:val="0"/>
                <w:sz w:val="17"/>
              </w:rPr>
              <w:t>作者与机构</w:t>
            </w:r>
          </w:p>
        </w:tc>
        <w:tc>
          <w:tcPr>
            <w:tcW w:type="dxa" w:w="7272"/>
          </w:tcPr>
          <w:p>
            <w:pPr>
              <w:spacing w:before="0" w:after="0" w:line="252" w:lineRule="auto"/>
              <w:jc w:val="center"/>
            </w:pPr>
            <w:r/>
            <w:r>
              <w:rPr>
                <w:rFonts w:ascii="Calibri" w:hAnsi="Calibri" w:eastAsia="Microsoft YaHei" w:cs="Calibri"/>
                <w:b w:val="0"/>
                <w:i w:val="0"/>
                <w:sz w:val="17"/>
              </w:rPr>
              <w:t>Di Wen、Zeyun Zhong、David Schneider、Manuel Zaremski、Linus Kunzmann、Yitian Shi、Ruiping Liu、Yufan Chen、Junwei Zheng、Jiahang Li、Jonas Hemmerich、Qiyi Tong、Patric Grauberger、Arash Ajoudani、Danda Pani Paudel、Sven Matthiesen、Barbara Deml、Jürgen Beyerer、Luc Van Gool、Rainer Stiefelhagen、Kunyu Peng；主要来自 Karlsruhe Institute of Technology，并包含 ETH Zurich、Italian Institute of Technology、INSAIT 等机构。</w:t>
            </w:r>
          </w:p>
        </w:tc>
      </w:tr>
      <w:tr>
        <w:tc>
          <w:tcPr>
            <w:tcW w:type="dxa" w:w="2088"/>
          </w:tcPr>
          <w:p>
            <w:pPr>
              <w:spacing w:before="0" w:after="0" w:line="252" w:lineRule="auto"/>
              <w:jc w:val="left"/>
            </w:pPr>
            <w:r/>
            <w:r>
              <w:rPr>
                <w:rFonts w:ascii="Calibri" w:hAnsi="Calibri" w:eastAsia="Microsoft YaHei" w:cs="Calibri"/>
                <w:b w:val="0"/>
                <w:i w:val="0"/>
                <w:sz w:val="17"/>
              </w:rPr>
              <w:t>版本信息</w:t>
            </w:r>
          </w:p>
        </w:tc>
        <w:tc>
          <w:tcPr>
            <w:tcW w:type="dxa" w:w="7272"/>
          </w:tcPr>
          <w:p>
            <w:pPr>
              <w:spacing w:before="0" w:after="0" w:line="252" w:lineRule="auto"/>
              <w:jc w:val="center"/>
            </w:pPr>
            <w:r/>
            <w:r>
              <w:rPr>
                <w:rFonts w:ascii="Calibri" w:hAnsi="Calibri" w:eastAsia="Microsoft YaHei" w:cs="Calibri"/>
                <w:b w:val="0"/>
                <w:i w:val="0"/>
                <w:sz w:val="17"/>
              </w:rPr>
              <w:t>PDF 文件为 2604.10409v1.pdf；元数据给出 arXiv:2604.10409v1，创建时间为 2026-04-14；正文未给出会议或期刊录用信息。</w:t>
            </w:r>
          </w:p>
        </w:tc>
      </w:tr>
      <w:tr>
        <w:tc>
          <w:tcPr>
            <w:tcW w:type="dxa" w:w="2088"/>
          </w:tcPr>
          <w:p>
            <w:pPr>
              <w:spacing w:before="0" w:after="0" w:line="252" w:lineRule="auto"/>
              <w:jc w:val="left"/>
            </w:pPr>
            <w:r/>
            <w:r>
              <w:rPr>
                <w:rFonts w:ascii="Calibri" w:hAnsi="Calibri" w:eastAsia="Microsoft YaHei" w:cs="Calibri"/>
                <w:b w:val="0"/>
                <w:i w:val="0"/>
                <w:sz w:val="17"/>
              </w:rPr>
              <w:t>研究问题</w:t>
            </w:r>
          </w:p>
        </w:tc>
        <w:tc>
          <w:tcPr>
            <w:tcW w:type="dxa" w:w="7272"/>
          </w:tcPr>
          <w:p>
            <w:pPr>
              <w:spacing w:before="0" w:after="0" w:line="252" w:lineRule="auto"/>
              <w:jc w:val="center"/>
            </w:pPr>
            <w:r/>
            <w:r>
              <w:rPr>
                <w:rFonts w:ascii="Calibri" w:hAnsi="Calibri" w:eastAsia="Microsoft YaHei" w:cs="Calibri"/>
                <w:b w:val="0"/>
                <w:i w:val="0"/>
                <w:sz w:val="17"/>
              </w:rPr>
              <w:t>如何构建一个更贴近真实部署的工业装配视频基准，同时评估多视角、双手动作、状态跟踪、异常恢复和程序推理。</w:t>
            </w:r>
          </w:p>
        </w:tc>
      </w:tr>
      <w:tr>
        <w:tc>
          <w:tcPr>
            <w:tcW w:type="dxa" w:w="2088"/>
          </w:tcPr>
          <w:p>
            <w:pPr>
              <w:spacing w:before="0" w:after="0" w:line="252" w:lineRule="auto"/>
              <w:jc w:val="left"/>
            </w:pPr>
            <w:r/>
            <w:r>
              <w:rPr>
                <w:rFonts w:ascii="Calibri" w:hAnsi="Calibri" w:eastAsia="Microsoft YaHei" w:cs="Calibri"/>
                <w:b w:val="0"/>
                <w:i w:val="0"/>
                <w:sz w:val="17"/>
              </w:rPr>
              <w:t>材料边界</w:t>
            </w:r>
          </w:p>
        </w:tc>
        <w:tc>
          <w:tcPr>
            <w:tcW w:type="dxa" w:w="7272"/>
          </w:tcPr>
          <w:p>
            <w:pPr>
              <w:spacing w:before="0" w:after="0" w:line="252" w:lineRule="auto"/>
              <w:jc w:val="center"/>
            </w:pPr>
            <w:r/>
            <w:r>
              <w:rPr>
                <w:rFonts w:ascii="Calibri" w:hAnsi="Calibri" w:eastAsia="Microsoft YaHei" w:cs="Calibri"/>
                <w:b w:val="0"/>
                <w:i w:val="0"/>
                <w:sz w:val="17"/>
              </w:rPr>
              <w:t>本报告严格依据所给 PDF 正文与元数据；所有数据规模和实验数字来自原文。</w:t>
            </w:r>
          </w:p>
        </w:tc>
      </w:tr>
    </w:tbl>
    <w:p/>
    <w:p>
      <w:pPr>
        <w:pStyle w:val="Heading1"/>
        <w:spacing w:before="320" w:after="160" w:line="264" w:lineRule="auto"/>
      </w:pPr>
      <w:r>
        <w:rPr>
          <w:rFonts w:ascii="Calibri" w:hAnsi="Calibri" w:eastAsia="Microsoft YaHei" w:cs="Calibri"/>
          <w:b/>
          <w:i w:val="0"/>
          <w:color w:val="2E74B5"/>
          <w:sz w:val="32"/>
        </w:rPr>
        <w:t>1. 研究背景与行业痛点</w:t>
      </w:r>
    </w:p>
    <w:p>
      <w:pPr>
        <w:spacing w:before="0" w:after="120" w:line="264" w:lineRule="auto"/>
      </w:pPr>
      <w:r>
        <w:rPr>
          <w:rFonts w:ascii="Calibri" w:hAnsi="Calibri" w:eastAsia="Microsoft YaHei" w:cs="Calibri"/>
          <w:b w:val="0"/>
          <w:i w:val="0"/>
          <w:sz w:val="22"/>
        </w:rPr>
        <w:t>工业智能助手正在从实验室走向真实部署，但现有视频数据集往往没有覆盖工业现场最难的组合条件。真实装配不是简单识别“正在做什么动作”，还要判断工程约束是否满足、组件状态是否正确、双手和工具遮挡下的信息是否可见、操作者是否按有效但非唯一的顺序执行，以及异常发生后是否完成恢复。</w:t>
      </w:r>
    </w:p>
    <w:p>
      <w:pPr>
        <w:spacing w:before="0" w:after="120" w:line="264" w:lineRule="auto"/>
      </w:pPr>
      <w:r>
        <w:rPr>
          <w:rFonts w:ascii="Calibri" w:hAnsi="Calibri" w:eastAsia="Microsoft YaHei" w:cs="Calibri"/>
          <w:b w:val="0"/>
          <w:i w:val="0"/>
          <w:sz w:val="22"/>
        </w:rPr>
        <w:t>论文指出，大规模 egocentric 数据集有语义多样性，但程序结构弱；装配类数据集更接近任务流程，但多使用代理物体或近似线性流程；多视角 ego-exo benchmark 关注视角对应，却缺少程序合规、状态演化和异常恢复。也就是说，旧方案通常把时间分割、预测、状态识别、错误检测分开做，难以检验真实工业助手所需的联合推理能力。</w:t>
      </w:r>
    </w:p>
    <w:p>
      <w:pPr>
        <w:spacing w:before="0" w:after="120" w:line="264" w:lineRule="auto"/>
      </w:pPr>
      <w:r>
        <w:rPr>
          <w:rFonts w:ascii="Calibri" w:hAnsi="Calibri" w:eastAsia="Microsoft YaHei" w:cs="Calibri"/>
          <w:b w:val="0"/>
          <w:i w:val="0"/>
          <w:sz w:val="22"/>
        </w:rPr>
        <w:t>IMPACT 试图补上的不是一个新模型，而是一个部署导向的统一基准。它围绕商用角磨机的真实拆装流程，要求模型同时面对多视角观测、工具遮挡、多路线执行、双手协作、组件状态变化、异常与恢复。这正对应工业装配场景里的核心痛点：关键事件短暂、错误类别复合、可见性随视角变化，且流程不是一条固定脚本。</w:t>
      </w:r>
    </w:p>
    <w:p>
      <w:pPr>
        <w:pStyle w:val="Heading1"/>
        <w:spacing w:before="320" w:after="160" w:line="264" w:lineRule="auto"/>
      </w:pPr>
      <w:r>
        <w:rPr>
          <w:rFonts w:ascii="Calibri" w:hAnsi="Calibri" w:eastAsia="Microsoft YaHei" w:cs="Calibri"/>
          <w:b/>
          <w:i w:val="0"/>
          <w:color w:val="2E74B5"/>
          <w:sz w:val="32"/>
        </w:rPr>
        <w:t>2. 核心创新亮点</w:t>
      </w:r>
    </w:p>
    <w:p>
      <w:pPr>
        <w:spacing w:before="160" w:after="80" w:line="264" w:lineRule="auto"/>
      </w:pPr>
      <w:r>
        <w:rPr>
          <w:rFonts w:ascii="Calibri" w:hAnsi="Calibri" w:eastAsia="Microsoft YaHei" w:cs="Calibri"/>
          <w:b/>
          <w:i w:val="0"/>
          <w:color w:val="1F4D78"/>
          <w:sz w:val="24"/>
        </w:rPr>
        <w:t>【理论创新】</w:t>
      </w:r>
    </w:p>
    <w:p>
      <w:pPr>
        <w:spacing w:before="0" w:after="120" w:line="264" w:lineRule="auto"/>
      </w:pPr>
      <w:r>
        <w:rPr>
          <w:rFonts w:ascii="Calibri" w:hAnsi="Calibri" w:eastAsia="Microsoft YaHei" w:cs="Calibri"/>
          <w:b w:val="0"/>
          <w:i w:val="0"/>
          <w:sz w:val="22"/>
        </w:rPr>
        <w:t>IMPACT 的理论贡献在于把工业装配理解从单任务评估转为结构化程序推理评估。论文把同一批真实录制视频组织成四类任务：时间理解、跨视角理解、动作预测、状态与推理。这样可以观察模型在同一工业流程下是否能跨任务保持一致，而不是只在单个分割或分类 benchmark 上报高分。</w:t>
      </w:r>
    </w:p>
    <w:p>
      <w:pPr>
        <w:spacing w:before="0" w:after="120" w:line="264" w:lineRule="auto"/>
      </w:pPr>
      <w:r>
        <w:rPr>
          <w:rFonts w:ascii="Calibri" w:hAnsi="Calibri" w:eastAsia="Microsoft YaHei" w:cs="Calibri"/>
          <w:b w:val="0"/>
          <w:i w:val="0"/>
          <w:sz w:val="22"/>
        </w:rPr>
        <w:t>第二个创新是多粒度标注层级。数据集把 hand-specific atomic actions、coarse procedural steps、component assembly states、per-hand compliance phases 串联起来，并显式标注 normal、anomaly、recovery。它不是把异常当作附带标签，而是把异常和恢复变成可监督、可评估的目标。</w:t>
      </w:r>
    </w:p>
    <w:p>
      <w:pPr>
        <w:spacing w:before="0" w:after="120" w:line="264" w:lineRule="auto"/>
      </w:pPr>
      <w:r>
        <w:rPr>
          <w:rFonts w:ascii="Calibri" w:hAnsi="Calibri" w:eastAsia="Microsoft YaHei" w:cs="Calibri"/>
          <w:b w:val="0"/>
          <w:i w:val="0"/>
          <w:sz w:val="22"/>
        </w:rPr>
        <w:t>第三个关键点是把 partial-order prerequisite graph 引入真实装配流程。角磨机拆装允许多条合法执行路径，不能用固定线性步骤序列评价模型。IMPACT 因此能暴露 graph-structural forecasting ceiling：当未来 2-3 步之后出现多路线拓扑歧义时，视觉特征和语言先验都很难突破。</w:t>
      </w:r>
    </w:p>
    <w:p>
      <w:pPr>
        <w:spacing w:before="160" w:after="80" w:line="264" w:lineRule="auto"/>
      </w:pPr>
      <w:r>
        <w:rPr>
          <w:rFonts w:ascii="Calibri" w:hAnsi="Calibri" w:eastAsia="Microsoft YaHei" w:cs="Calibri"/>
          <w:b/>
          <w:i w:val="0"/>
          <w:color w:val="1F4D78"/>
          <w:sz w:val="24"/>
        </w:rPr>
        <w:t>【工程落地创新】</w:t>
      </w:r>
    </w:p>
    <w:p>
      <w:pPr>
        <w:spacing w:before="0" w:after="120" w:line="264" w:lineRule="auto"/>
      </w:pPr>
      <w:r>
        <w:rPr>
          <w:rFonts w:ascii="Calibri" w:hAnsi="Calibri" w:eastAsia="Microsoft YaHei" w:cs="Calibri"/>
          <w:b w:val="0"/>
          <w:i w:val="0"/>
          <w:sz w:val="22"/>
        </w:rPr>
        <w:t>工程上，IMPACT 提供同步五视角 RGB-D：四个 Intel RealSense D455 外部视角加一个 Tobii Pro Glasses 3 第一视角，并同步 gaze、audio 和 NASA-TLX 认知负荷问卷。录制对象是商用角磨机，包含两个型号、专业工具、真实拆装和重新装配，这比玩具或家具代理任务更贴近工业作业。</w:t>
      </w:r>
    </w:p>
    <w:p>
      <w:pPr>
        <w:spacing w:before="0" w:after="120" w:line="264" w:lineRule="auto"/>
      </w:pPr>
      <w:r>
        <w:rPr>
          <w:rFonts w:ascii="Calibri" w:hAnsi="Calibri" w:eastAsia="Microsoft YaHei" w:cs="Calibri"/>
          <w:b w:val="0"/>
          <w:i w:val="0"/>
          <w:sz w:val="22"/>
        </w:rPr>
        <w:t>数据规模也服务于落地评估：112 次 trial、13 名参与者、39.5 小时；每个 trial 关联多视角、多模态、认知负荷和异常恢复信息。标注由 5 名专家历时 7 个月完成，并由工业工程和人体工学专家共同校验，另有 11 名独立验证者分四阶段验证。这样的设计让模型失败能被定位到感知不可见、时间边界、状态转移、异常类别或恢复识别等具体环节。</w:t>
      </w:r>
    </w:p>
    <w:p>
      <w:pPr>
        <w:pStyle w:val="Heading1"/>
        <w:spacing w:before="320" w:after="160" w:line="264" w:lineRule="auto"/>
      </w:pPr>
      <w:r>
        <w:rPr>
          <w:rFonts w:ascii="Calibri" w:hAnsi="Calibri" w:eastAsia="Microsoft YaHei" w:cs="Calibri"/>
          <w:b/>
          <w:i w:val="0"/>
          <w:color w:val="2E74B5"/>
          <w:sz w:val="32"/>
        </w:rPr>
        <w:t>3. 方法架构通俗拆解</w:t>
      </w:r>
    </w:p>
    <w:p>
      <w:pPr>
        <w:spacing w:before="160" w:after="80" w:line="264" w:lineRule="auto"/>
      </w:pPr>
      <w:r>
        <w:rPr>
          <w:rFonts w:ascii="Calibri" w:hAnsi="Calibri" w:eastAsia="Microsoft YaHei" w:cs="Calibri"/>
          <w:b/>
          <w:i w:val="0"/>
          <w:color w:val="1F4D78"/>
          <w:sz w:val="24"/>
        </w:rPr>
        <w:t>数据采集链路</w:t>
      </w:r>
    </w:p>
    <w:p>
      <w:pPr>
        <w:spacing w:before="0" w:after="120" w:line="264" w:lineRule="auto"/>
      </w:pPr>
      <w:r>
        <w:rPr>
          <w:rFonts w:ascii="Calibri" w:hAnsi="Calibri" w:eastAsia="Microsoft YaHei" w:cs="Calibri"/>
          <w:b w:val="0"/>
          <w:i w:val="0"/>
          <w:sz w:val="22"/>
        </w:rPr>
        <w:t>IMPACT 的装配对象是一个商用角磨机，涉及 12 个组件和 4 类工具。四个外部 RGB-D 相机从 top、front、left、right 记录 1280 x 800 RGB 和 1280 x 720 depth，帧率 30 fps；第一视角 Tobii Pro Glasses 3 记录 1920 x 1080、25 fps，并额外提供 gaze 和 audio。多相机通过网络时钟同步、视觉锚点对齐和 ChArUco 标定完成时空校准。</w:t>
      </w:r>
    </w:p>
    <w:p>
      <w:pPr>
        <w:spacing w:before="160" w:after="80" w:line="264" w:lineRule="auto"/>
      </w:pPr>
      <w:r>
        <w:rPr>
          <w:rFonts w:ascii="Calibri" w:hAnsi="Calibri" w:eastAsia="Microsoft YaHei" w:cs="Calibri"/>
          <w:b/>
          <w:i w:val="0"/>
          <w:color w:val="1F4D78"/>
          <w:sz w:val="24"/>
        </w:rPr>
        <w:t>标注层级如何协作</w:t>
      </w:r>
    </w:p>
    <w:p>
      <w:pPr>
        <w:spacing w:before="0" w:after="120" w:line="264" w:lineRule="auto"/>
      </w:pPr>
      <w:r>
        <w:rPr>
          <w:rFonts w:ascii="Calibri" w:hAnsi="Calibri" w:eastAsia="Microsoft YaHei" w:cs="Calibri"/>
          <w:b w:val="0"/>
          <w:i w:val="0"/>
          <w:sz w:val="22"/>
        </w:rPr>
        <w:t>细粒度层面，IMPACT 为左右手分别标注 atomic action，覆盖 137 个有效动作类，由 22 个 verbs 和 19 个 nouns 组合而来，允许两只手同时非空，以描述真实双手协作。程序层面，数据集有 26 个 coarse step 类别和 51 个 completion-event 类别。状态层面，17 个组件实例被标成三值状态：misassembled、unassembled、correctly assembled。</w:t>
      </w:r>
    </w:p>
    <w:p>
      <w:pPr>
        <w:spacing w:before="160" w:after="80" w:line="264" w:lineRule="auto"/>
      </w:pPr>
      <w:r>
        <w:rPr>
          <w:rFonts w:ascii="Calibri" w:hAnsi="Calibri" w:eastAsia="Microsoft YaHei" w:cs="Calibri"/>
          <w:b/>
          <w:i w:val="0"/>
          <w:color w:val="1F4D78"/>
          <w:sz w:val="24"/>
        </w:rPr>
        <w:t>异常和恢复如何表达</w:t>
      </w:r>
    </w:p>
    <w:p>
      <w:pPr>
        <w:spacing w:before="0" w:after="120" w:line="264" w:lineRule="auto"/>
      </w:pPr>
      <w:r>
        <w:rPr>
          <w:rFonts w:ascii="Calibri" w:hAnsi="Calibri" w:eastAsia="Microsoft YaHei" w:cs="Calibri"/>
          <w:b w:val="0"/>
          <w:i w:val="0"/>
          <w:sz w:val="22"/>
        </w:rPr>
        <w:t>论文把程序阶段分为 normal、anomaly、recovery，比例分别为 83.68%、14.09%、2.22%，对应 56,487、9,512、1,498 个 segments。异常还带有六类非互斥标签：temporal、spatial、handling、wrong part、wrong tool、procedural。非互斥设计很重要，因为真实错误常常是复合故障，而不是单一类别。</w:t>
      </w:r>
    </w:p>
    <w:p>
      <w:pPr>
        <w:spacing w:before="160" w:after="80" w:line="264" w:lineRule="auto"/>
      </w:pPr>
      <w:r>
        <w:rPr>
          <w:rFonts w:ascii="Calibri" w:hAnsi="Calibri" w:eastAsia="Microsoft YaHei" w:cs="Calibri"/>
          <w:b/>
          <w:i w:val="0"/>
          <w:color w:val="1F4D78"/>
          <w:sz w:val="24"/>
        </w:rPr>
        <w:t>Benchmark 任务如何落地</w:t>
      </w:r>
    </w:p>
    <w:p>
      <w:pPr>
        <w:spacing w:before="0" w:after="120" w:line="264" w:lineRule="auto"/>
      </w:pPr>
      <w:r>
        <w:rPr>
          <w:rFonts w:ascii="Calibri" w:hAnsi="Calibri" w:eastAsia="Microsoft YaHei" w:cs="Calibri"/>
          <w:b w:val="0"/>
          <w:i w:val="0"/>
          <w:sz w:val="22"/>
        </w:rPr>
        <w:t>四类 benchmark 分别覆盖时间动作分割（TAS-S、TAS-BL/BR）、跨视角时间对齐与语义匹配（CV-TA、CV-SMR、CV-SMC）、短期和长期动作预测（AF-S、AF-L）、以及状态与推理（PSR、ASR、PPR、ATR）。这些任务共享同一批录制数据，因此能检验模型是否真正理解程序，而不是只适配某个孤立任务。</w:t>
      </w:r>
    </w:p>
    <w:p>
      <w:pPr>
        <w:pStyle w:val="Heading1"/>
        <w:spacing w:before="320" w:after="160" w:line="264" w:lineRule="auto"/>
      </w:pPr>
      <w:r>
        <w:rPr>
          <w:rFonts w:ascii="Calibri" w:hAnsi="Calibri" w:eastAsia="Microsoft YaHei" w:cs="Calibri"/>
          <w:b/>
          <w:i w:val="0"/>
          <w:color w:val="2E74B5"/>
          <w:sz w:val="32"/>
        </w:rPr>
        <w:t>4. 实验配置与效果</w:t>
      </w:r>
    </w:p>
    <w:p>
      <w:pPr>
        <w:spacing w:before="160" w:after="80" w:line="264" w:lineRule="auto"/>
      </w:pPr>
      <w:r>
        <w:rPr>
          <w:rFonts w:ascii="Calibri" w:hAnsi="Calibri" w:eastAsia="Microsoft YaHei" w:cs="Calibri"/>
          <w:b/>
          <w:i w:val="0"/>
          <w:color w:val="1F4D78"/>
          <w:sz w:val="24"/>
        </w:rPr>
        <w:t>数据集与评估切分</w:t>
      </w:r>
    </w:p>
    <w:tbl>
      <w:tblPr>
        <w:tblW w:type="dxa" w:w="9360"/>
        <w:jc w:val="left"/>
        <w:tblLayout w:type="fixed"/>
        <w:tblLook w:firstColumn="1" w:firstRow="1" w:lastColumn="0" w:lastRow="0" w:noHBand="0" w:noVBand="1" w:val="04A0"/>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Pr>
      <w:tblGrid>
        <w:gridCol w:w="1944"/>
        <w:gridCol w:w="7416"/>
      </w:tblGrid>
      <w:tr>
        <w:tc>
          <w:tcPr>
            <w:tcW w:type="dxa" w:w="1944"/>
            <w:vAlign w:val="center"/>
            <w:tcMar>
              <w:top w:w="80" w:type="dxa"/>
              <w:bottom w:w="80" w:type="dxa"/>
              <w:start w:w="120" w:type="dxa"/>
              <w:end w:w="120" w:type="dxa"/>
            </w:tcMar>
            <w:shd w:fill="F2F4F7"/>
          </w:tcPr>
          <w:p>
            <w:pPr>
              <w:spacing w:before="0" w:after="0" w:line="252" w:lineRule="auto"/>
              <w:jc w:val="center"/>
            </w:pPr>
            <w:r/>
            <w:r>
              <w:rPr>
                <w:rFonts w:ascii="Calibri" w:hAnsi="Calibri" w:eastAsia="Microsoft YaHei" w:cs="Calibri"/>
                <w:b/>
                <w:i w:val="0"/>
                <w:color w:val="1F4D78"/>
                <w:sz w:val="17"/>
              </w:rPr>
              <w:t>项目</w:t>
            </w:r>
          </w:p>
        </w:tc>
        <w:tc>
          <w:tcPr>
            <w:tcW w:type="dxa" w:w="7416"/>
            <w:vAlign w:val="center"/>
            <w:tcMar>
              <w:top w:w="80" w:type="dxa"/>
              <w:bottom w:w="80" w:type="dxa"/>
              <w:start w:w="120" w:type="dxa"/>
              <w:end w:w="120" w:type="dxa"/>
            </w:tcMar>
            <w:shd w:fill="F2F4F7"/>
          </w:tcPr>
          <w:p>
            <w:pPr>
              <w:spacing w:before="0" w:after="0" w:line="252" w:lineRule="auto"/>
              <w:jc w:val="center"/>
            </w:pPr>
            <w:r/>
            <w:r>
              <w:rPr>
                <w:rFonts w:ascii="Calibri" w:hAnsi="Calibri" w:eastAsia="Microsoft YaHei" w:cs="Calibri"/>
                <w:b/>
                <w:i w:val="0"/>
                <w:color w:val="1F4D78"/>
                <w:sz w:val="17"/>
              </w:rPr>
              <w:t>原文配置</w:t>
            </w:r>
          </w:p>
        </w:tc>
      </w:tr>
      <w:tr>
        <w:tc>
          <w:tcPr>
            <w:tcW w:type="dxa" w:w="1944"/>
          </w:tcPr>
          <w:p>
            <w:pPr>
              <w:spacing w:before="0" w:after="0" w:line="252" w:lineRule="auto"/>
              <w:jc w:val="left"/>
            </w:pPr>
            <w:r/>
            <w:r>
              <w:rPr>
                <w:rFonts w:ascii="Calibri" w:hAnsi="Calibri" w:eastAsia="Microsoft YaHei" w:cs="Calibri"/>
                <w:b w:val="0"/>
                <w:i w:val="0"/>
                <w:sz w:val="17"/>
              </w:rPr>
              <w:t>采集规模</w:t>
            </w:r>
          </w:p>
        </w:tc>
        <w:tc>
          <w:tcPr>
            <w:tcW w:type="dxa" w:w="7416"/>
          </w:tcPr>
          <w:p>
            <w:pPr>
              <w:spacing w:before="0" w:after="0" w:line="252" w:lineRule="auto"/>
              <w:jc w:val="center"/>
            </w:pPr>
            <w:r/>
            <w:r>
              <w:rPr>
                <w:rFonts w:ascii="Calibri" w:hAnsi="Calibri" w:eastAsia="Microsoft YaHei" w:cs="Calibri"/>
                <w:b w:val="0"/>
                <w:i w:val="0"/>
                <w:sz w:val="17"/>
              </w:rPr>
              <w:t>112 次 trial，13 名参与者，其中 7 名女性、6 名男性，年龄 19-27；4 名专家预训练装配流程，9 名新手；总时长 39.5 小时。</w:t>
            </w:r>
          </w:p>
        </w:tc>
      </w:tr>
      <w:tr>
        <w:tc>
          <w:tcPr>
            <w:tcW w:type="dxa" w:w="1944"/>
          </w:tcPr>
          <w:p>
            <w:pPr>
              <w:spacing w:before="0" w:after="0" w:line="252" w:lineRule="auto"/>
              <w:jc w:val="left"/>
            </w:pPr>
            <w:r/>
            <w:r>
              <w:rPr>
                <w:rFonts w:ascii="Calibri" w:hAnsi="Calibri" w:eastAsia="Microsoft YaHei" w:cs="Calibri"/>
                <w:b w:val="0"/>
                <w:i w:val="0"/>
                <w:sz w:val="17"/>
              </w:rPr>
              <w:t>硬件与模态</w:t>
            </w:r>
          </w:p>
        </w:tc>
        <w:tc>
          <w:tcPr>
            <w:tcW w:type="dxa" w:w="7416"/>
          </w:tcPr>
          <w:p>
            <w:pPr>
              <w:spacing w:before="0" w:after="0" w:line="252" w:lineRule="auto"/>
              <w:jc w:val="center"/>
            </w:pPr>
            <w:r/>
            <w:r>
              <w:rPr>
                <w:rFonts w:ascii="Calibri" w:hAnsi="Calibri" w:eastAsia="Microsoft YaHei" w:cs="Calibri"/>
                <w:b w:val="0"/>
                <w:i w:val="0"/>
                <w:sz w:val="17"/>
              </w:rPr>
              <w:t>四个外部 RGB-D 视角加一个第一视角；外部相机 30 fps，第一视角 25 fps；包含 gaze、audio、NASA-TLX。</w:t>
            </w:r>
          </w:p>
        </w:tc>
      </w:tr>
      <w:tr>
        <w:tc>
          <w:tcPr>
            <w:tcW w:type="dxa" w:w="1944"/>
          </w:tcPr>
          <w:p>
            <w:pPr>
              <w:spacing w:before="0" w:after="0" w:line="252" w:lineRule="auto"/>
              <w:jc w:val="left"/>
            </w:pPr>
            <w:r/>
            <w:r>
              <w:rPr>
                <w:rFonts w:ascii="Calibri" w:hAnsi="Calibri" w:eastAsia="Microsoft YaHei" w:cs="Calibri"/>
                <w:b w:val="0"/>
                <w:i w:val="0"/>
                <w:sz w:val="17"/>
              </w:rPr>
              <w:t>标注规模</w:t>
            </w:r>
          </w:p>
        </w:tc>
        <w:tc>
          <w:tcPr>
            <w:tcW w:type="dxa" w:w="7416"/>
          </w:tcPr>
          <w:p>
            <w:pPr>
              <w:spacing w:before="0" w:after="0" w:line="252" w:lineRule="auto"/>
              <w:jc w:val="center"/>
            </w:pPr>
            <w:r/>
            <w:r>
              <w:rPr>
                <w:rFonts w:ascii="Calibri" w:hAnsi="Calibri" w:eastAsia="Microsoft YaHei" w:cs="Calibri"/>
                <w:b w:val="0"/>
                <w:i w:val="0"/>
                <w:sz w:val="17"/>
              </w:rPr>
              <w:t>137 个非空动作类；27,353 个左手 segments、36,920 个右手 segments；26 个步骤类；51 个 completion-event / procedural states；17 个组件状态；1,457 个 state segments。</w:t>
            </w:r>
          </w:p>
        </w:tc>
      </w:tr>
      <w:tr>
        <w:tc>
          <w:tcPr>
            <w:tcW w:type="dxa" w:w="1944"/>
          </w:tcPr>
          <w:p>
            <w:pPr>
              <w:spacing w:before="0" w:after="0" w:line="252" w:lineRule="auto"/>
              <w:jc w:val="left"/>
            </w:pPr>
            <w:r/>
            <w:r>
              <w:rPr>
                <w:rFonts w:ascii="Calibri" w:hAnsi="Calibri" w:eastAsia="Microsoft YaHei" w:cs="Calibri"/>
                <w:b w:val="0"/>
                <w:i w:val="0"/>
                <w:sz w:val="17"/>
              </w:rPr>
              <w:t>任务切分</w:t>
            </w:r>
          </w:p>
        </w:tc>
        <w:tc>
          <w:tcPr>
            <w:tcW w:type="dxa" w:w="7416"/>
          </w:tcPr>
          <w:p>
            <w:pPr>
              <w:spacing w:before="0" w:after="0" w:line="252" w:lineRule="auto"/>
              <w:jc w:val="center"/>
            </w:pPr>
            <w:r/>
            <w:r>
              <w:rPr>
                <w:rFonts w:ascii="Calibri" w:hAnsi="Calibri" w:eastAsia="Microsoft YaHei" w:cs="Calibri"/>
                <w:b w:val="0"/>
                <w:i w:val="0"/>
                <w:sz w:val="17"/>
              </w:rPr>
              <w:t>S1 为 IID；S2 为 Cross-Subject；S3 为 Cross-Configuration；S4 为 Exo-to-Ego。检索池限制在 test partition，forecasting instances 在切分后生成以避免泄漏。</w:t>
            </w:r>
          </w:p>
        </w:tc>
      </w:tr>
    </w:tbl>
    <w:p/>
    <w:p>
      <w:pPr>
        <w:spacing w:before="160" w:after="80" w:line="264" w:lineRule="auto"/>
      </w:pPr>
      <w:r>
        <w:rPr>
          <w:rFonts w:ascii="Calibri" w:hAnsi="Calibri" w:eastAsia="Microsoft YaHei" w:cs="Calibri"/>
          <w:b/>
          <w:i w:val="0"/>
          <w:color w:val="1F4D78"/>
          <w:sz w:val="24"/>
        </w:rPr>
        <w:t>关键实验结果</w:t>
      </w:r>
    </w:p>
    <w:tbl>
      <w:tblPr>
        <w:tblW w:type="dxa" w:w="9360"/>
        <w:jc w:val="left"/>
        <w:tblLayout w:type="fixed"/>
        <w:tblLook w:firstColumn="1" w:firstRow="1" w:lastColumn="0" w:lastRow="0" w:noHBand="0" w:noVBand="1" w:val="04A0"/>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Pr>
      <w:tblGrid>
        <w:gridCol w:w="1800"/>
        <w:gridCol w:w="4464"/>
        <w:gridCol w:w="3096"/>
      </w:tblGrid>
      <w:tr>
        <w:tc>
          <w:tcPr>
            <w:tcW w:type="dxa" w:w="1800"/>
            <w:vAlign w:val="center"/>
            <w:tcMar>
              <w:top w:w="80" w:type="dxa"/>
              <w:bottom w:w="80" w:type="dxa"/>
              <w:start w:w="120" w:type="dxa"/>
              <w:end w:w="120" w:type="dxa"/>
            </w:tcMar>
            <w:shd w:fill="F2F4F7"/>
          </w:tcPr>
          <w:p>
            <w:pPr>
              <w:spacing w:before="0" w:after="0" w:line="252" w:lineRule="auto"/>
              <w:jc w:val="center"/>
            </w:pPr>
            <w:r/>
            <w:r>
              <w:rPr>
                <w:rFonts w:ascii="Calibri" w:hAnsi="Calibri" w:eastAsia="Microsoft YaHei" w:cs="Calibri"/>
                <w:b/>
                <w:i w:val="0"/>
                <w:color w:val="1F4D78"/>
                <w:sz w:val="16"/>
              </w:rPr>
              <w:t>任务族</w:t>
            </w:r>
          </w:p>
        </w:tc>
        <w:tc>
          <w:tcPr>
            <w:tcW w:type="dxa" w:w="4464"/>
            <w:vAlign w:val="center"/>
            <w:tcMar>
              <w:top w:w="80" w:type="dxa"/>
              <w:bottom w:w="80" w:type="dxa"/>
              <w:start w:w="120" w:type="dxa"/>
              <w:end w:w="120" w:type="dxa"/>
            </w:tcMar>
            <w:shd w:fill="F2F4F7"/>
          </w:tcPr>
          <w:p>
            <w:pPr>
              <w:spacing w:before="0" w:after="0" w:line="252" w:lineRule="auto"/>
              <w:jc w:val="center"/>
            </w:pPr>
            <w:r/>
            <w:r>
              <w:rPr>
                <w:rFonts w:ascii="Calibri" w:hAnsi="Calibri" w:eastAsia="Microsoft YaHei" w:cs="Calibri"/>
                <w:b/>
                <w:i w:val="0"/>
                <w:color w:val="1F4D78"/>
                <w:sz w:val="16"/>
              </w:rPr>
              <w:t>原文关键数字</w:t>
            </w:r>
          </w:p>
        </w:tc>
        <w:tc>
          <w:tcPr>
            <w:tcW w:type="dxa" w:w="3096"/>
            <w:vAlign w:val="center"/>
            <w:tcMar>
              <w:top w:w="80" w:type="dxa"/>
              <w:bottom w:w="80" w:type="dxa"/>
              <w:start w:w="120" w:type="dxa"/>
              <w:end w:w="120" w:type="dxa"/>
            </w:tcMar>
            <w:shd w:fill="F2F4F7"/>
          </w:tcPr>
          <w:p>
            <w:pPr>
              <w:spacing w:before="0" w:after="0" w:line="252" w:lineRule="auto"/>
              <w:jc w:val="center"/>
            </w:pPr>
            <w:r/>
            <w:r>
              <w:rPr>
                <w:rFonts w:ascii="Calibri" w:hAnsi="Calibri" w:eastAsia="Microsoft YaHei" w:cs="Calibri"/>
                <w:b/>
                <w:i w:val="0"/>
                <w:color w:val="1F4D78"/>
                <w:sz w:val="16"/>
              </w:rPr>
              <w:t>论文结论</w:t>
            </w:r>
          </w:p>
        </w:tc>
      </w:tr>
      <w:tr>
        <w:tc>
          <w:tcPr>
            <w:tcW w:type="dxa" w:w="1800"/>
          </w:tcPr>
          <w:p>
            <w:pPr>
              <w:spacing w:before="0" w:after="0" w:line="252" w:lineRule="auto"/>
              <w:jc w:val="left"/>
            </w:pPr>
            <w:r/>
            <w:r>
              <w:rPr>
                <w:rFonts w:ascii="Calibri" w:hAnsi="Calibri" w:eastAsia="Microsoft YaHei" w:cs="Calibri"/>
                <w:b w:val="0"/>
                <w:i w:val="0"/>
                <w:sz w:val="16"/>
              </w:rPr>
              <w:t>Temporal Understanding</w:t>
            </w:r>
          </w:p>
        </w:tc>
        <w:tc>
          <w:tcPr>
            <w:tcW w:type="dxa" w:w="4464"/>
          </w:tcPr>
          <w:p>
            <w:pPr>
              <w:spacing w:before="0" w:after="0" w:line="252" w:lineRule="auto"/>
              <w:jc w:val="center"/>
            </w:pPr>
            <w:r/>
            <w:r>
              <w:rPr>
                <w:rFonts w:ascii="Calibri" w:hAnsi="Calibri" w:eastAsia="Microsoft YaHei" w:cs="Calibri"/>
                <w:b w:val="0"/>
                <w:i w:val="0"/>
                <w:sz w:val="16"/>
              </w:rPr>
              <w:t>S1 上最佳 TAS-S F1@50=71.52；最佳 TAS-BL F1@50=27.97（FACT+I3D）。ASQuery+I3D 从 S1 到 S4 的 F1@50 为 33.89 到 38.56；FACT 在 cross-configuration 下 S3 为 15.86。</w:t>
            </w:r>
          </w:p>
        </w:tc>
        <w:tc>
          <w:tcPr>
            <w:tcW w:type="dxa" w:w="3096"/>
          </w:tcPr>
          <w:p>
            <w:pPr>
              <w:spacing w:before="0" w:after="0" w:line="252" w:lineRule="auto"/>
              <w:jc w:val="center"/>
            </w:pPr>
            <w:r/>
            <w:r>
              <w:rPr>
                <w:rFonts w:ascii="Calibri" w:hAnsi="Calibri" w:eastAsia="Microsoft YaHei" w:cs="Calibri"/>
                <w:b w:val="0"/>
                <w:i w:val="0"/>
                <w:sz w:val="16"/>
              </w:rPr>
              <w:t>粗步骤分割比双手原子动作容易得多；高 IID 表现不能保证部署泛化。</w:t>
            </w:r>
          </w:p>
        </w:tc>
      </w:tr>
      <w:tr>
        <w:tc>
          <w:tcPr>
            <w:tcW w:type="dxa" w:w="1800"/>
          </w:tcPr>
          <w:p>
            <w:pPr>
              <w:spacing w:before="0" w:after="0" w:line="252" w:lineRule="auto"/>
              <w:jc w:val="left"/>
            </w:pPr>
            <w:r/>
            <w:r>
              <w:rPr>
                <w:rFonts w:ascii="Calibri" w:hAnsi="Calibri" w:eastAsia="Microsoft YaHei" w:cs="Calibri"/>
                <w:b w:val="0"/>
                <w:i w:val="0"/>
                <w:sz w:val="16"/>
              </w:rPr>
              <w:t>Cross-View Understanding</w:t>
            </w:r>
          </w:p>
        </w:tc>
        <w:tc>
          <w:tcPr>
            <w:tcW w:type="dxa" w:w="4464"/>
          </w:tcPr>
          <w:p>
            <w:pPr>
              <w:spacing w:before="0" w:after="0" w:line="252" w:lineRule="auto"/>
              <w:jc w:val="center"/>
            </w:pPr>
            <w:r/>
            <w:r>
              <w:rPr>
                <w:rFonts w:ascii="Calibri" w:hAnsi="Calibri" w:eastAsia="Microsoft YaHei" w:cs="Calibri"/>
                <w:b w:val="0"/>
                <w:i w:val="0"/>
                <w:sz w:val="16"/>
              </w:rPr>
              <w:t>MViTv2 CV-SM retrieval R@1=6.24，但 global CV-TA R@1=1.40；Exo-to-Ego local R@1 从 7.38 降到 5.12，global R@1 为 1.40；CV-SM classification 中 MViTv2 S1 Top-1=54.10，VideoMAEv2 为 24.31。</w:t>
            </w:r>
          </w:p>
        </w:tc>
        <w:tc>
          <w:tcPr>
            <w:tcW w:type="dxa" w:w="3096"/>
          </w:tcPr>
          <w:p>
            <w:pPr>
              <w:spacing w:before="0" w:after="0" w:line="252" w:lineRule="auto"/>
              <w:jc w:val="center"/>
            </w:pPr>
            <w:r/>
            <w:r>
              <w:rPr>
                <w:rFonts w:ascii="Calibri" w:hAnsi="Calibri" w:eastAsia="Microsoft YaHei" w:cs="Calibri"/>
                <w:b w:val="0"/>
                <w:i w:val="0"/>
                <w:sz w:val="16"/>
              </w:rPr>
              <w:t>语义匹配和实例级跨视角对齐存在结构性差距，手和工具遮挡造成视角依赖的缺失证据。</w:t>
            </w:r>
          </w:p>
        </w:tc>
      </w:tr>
      <w:tr>
        <w:tc>
          <w:tcPr>
            <w:tcW w:type="dxa" w:w="1800"/>
          </w:tcPr>
          <w:p>
            <w:pPr>
              <w:spacing w:before="0" w:after="0" w:line="252" w:lineRule="auto"/>
              <w:jc w:val="left"/>
            </w:pPr>
            <w:r/>
            <w:r>
              <w:rPr>
                <w:rFonts w:ascii="Calibri" w:hAnsi="Calibri" w:eastAsia="Microsoft YaHei" w:cs="Calibri"/>
                <w:b w:val="0"/>
                <w:i w:val="0"/>
                <w:sz w:val="16"/>
              </w:rPr>
              <w:t>Action Forecasting</w:t>
            </w:r>
          </w:p>
        </w:tc>
        <w:tc>
          <w:tcPr>
            <w:tcW w:type="dxa" w:w="4464"/>
          </w:tcPr>
          <w:p>
            <w:pPr>
              <w:spacing w:before="0" w:after="0" w:line="252" w:lineRule="auto"/>
              <w:jc w:val="center"/>
            </w:pPr>
            <w:r/>
            <w:r>
              <w:rPr>
                <w:rFonts w:ascii="Calibri" w:hAnsi="Calibri" w:eastAsia="Microsoft YaHei" w:cs="Calibri"/>
                <w:b w:val="0"/>
                <w:i w:val="0"/>
                <w:sz w:val="16"/>
              </w:rPr>
              <w:t>短期预测中 ScalAnt+I3D overall act=18.41、verb=44.44、noun=53.42；AVT+I3D noun=54.20 但 act=17.34。长期预测中 ScalAnt+I3D AUED=0.622，VideoMAEv2=0.644；Qwen3VL-8B AF-L AUED=0.827。</w:t>
            </w:r>
          </w:p>
        </w:tc>
        <w:tc>
          <w:tcPr>
            <w:tcW w:type="dxa" w:w="3096"/>
          </w:tcPr>
          <w:p>
            <w:pPr>
              <w:spacing w:before="0" w:after="0" w:line="252" w:lineRule="auto"/>
              <w:jc w:val="center"/>
            </w:pPr>
            <w:r/>
            <w:r>
              <w:rPr>
                <w:rFonts w:ascii="Calibri" w:hAnsi="Calibri" w:eastAsia="Microsoft YaHei" w:cs="Calibri"/>
                <w:b w:val="0"/>
                <w:i w:val="0"/>
                <w:sz w:val="16"/>
              </w:rPr>
              <w:t>物体身份比操控意图更容易预测；超过 2-3 步后，多路线图结构歧义成为主要瓶颈。</w:t>
            </w:r>
          </w:p>
        </w:tc>
      </w:tr>
      <w:tr>
        <w:tc>
          <w:tcPr>
            <w:tcW w:type="dxa" w:w="1800"/>
          </w:tcPr>
          <w:p>
            <w:pPr>
              <w:spacing w:before="0" w:after="0" w:line="252" w:lineRule="auto"/>
              <w:jc w:val="left"/>
            </w:pPr>
            <w:r/>
            <w:r>
              <w:rPr>
                <w:rFonts w:ascii="Calibri" w:hAnsi="Calibri" w:eastAsia="Microsoft YaHei" w:cs="Calibri"/>
                <w:b w:val="0"/>
                <w:i w:val="0"/>
                <w:sz w:val="16"/>
              </w:rPr>
              <w:t>State &amp; Reasoning</w:t>
            </w:r>
          </w:p>
        </w:tc>
        <w:tc>
          <w:tcPr>
            <w:tcW w:type="dxa" w:w="4464"/>
          </w:tcPr>
          <w:p>
            <w:pPr>
              <w:spacing w:before="0" w:after="0" w:line="252" w:lineRule="auto"/>
              <w:jc w:val="center"/>
            </w:pPr>
            <w:r/>
            <w:r>
              <w:rPr>
                <w:rFonts w:ascii="Calibri" w:hAnsi="Calibri" w:eastAsia="Microsoft YaHei" w:cs="Calibri"/>
                <w:b w:val="0"/>
                <w:i w:val="0"/>
                <w:sz w:val="16"/>
              </w:rPr>
              <w:t>MS-TCN++ ASR Macro-F1=0.84、Trans-F1=0.33、Final-Acc=0.93；Gemini 3.1 Pro PSR POS=0.36，但检测延迟 19.26 s，而 MS-TCN++ 为 8.46 s。恢复阶段 F1rec 左手接近 0，右手低于 7。</w:t>
            </w:r>
          </w:p>
        </w:tc>
        <w:tc>
          <w:tcPr>
            <w:tcW w:type="dxa" w:w="3096"/>
          </w:tcPr>
          <w:p>
            <w:pPr>
              <w:spacing w:before="0" w:after="0" w:line="252" w:lineRule="auto"/>
              <w:jc w:val="center"/>
            </w:pPr>
            <w:r/>
            <w:r>
              <w:rPr>
                <w:rFonts w:ascii="Calibri" w:hAnsi="Calibri" w:eastAsia="Microsoft YaHei" w:cs="Calibri"/>
                <w:b w:val="0"/>
                <w:i w:val="0"/>
                <w:sz w:val="16"/>
              </w:rPr>
              <w:t>模型能学到稳定状态分布，但难以抓住短暂转移；VLM 有程序顺序先验，却不能可靠落到完成事件时间点。</w:t>
            </w:r>
          </w:p>
        </w:tc>
      </w:tr>
    </w:tbl>
    <w:p/>
    <w:p>
      <w:pPr>
        <w:spacing w:before="0" w:after="120" w:line="264" w:lineRule="auto"/>
      </w:pPr>
      <w:r>
        <w:rPr>
          <w:rFonts w:ascii="Calibri" w:hAnsi="Calibri" w:eastAsia="Microsoft YaHei" w:cs="Calibri"/>
          <w:b w:val="0"/>
          <w:i w:val="0"/>
          <w:sz w:val="22"/>
        </w:rPr>
        <w:t>论文将这些现象归纳为三类开放挑战：egocentric observability gap、graph-structural forecasting ceiling、knowledge-execution gap。它们并不分散，而是集中出现在转移、异常和恢复这些工业部署最关键的时刻。</w:t>
      </w:r>
    </w:p>
    <w:p>
      <w:pPr>
        <w:pStyle w:val="Heading1"/>
        <w:spacing w:before="320" w:after="160" w:line="264" w:lineRule="auto"/>
      </w:pPr>
      <w:r>
        <w:rPr>
          <w:rFonts w:ascii="Calibri" w:hAnsi="Calibri" w:eastAsia="Microsoft YaHei" w:cs="Calibri"/>
          <w:b/>
          <w:i w:val="0"/>
          <w:color w:val="2E74B5"/>
          <w:sz w:val="32"/>
        </w:rPr>
        <w:t>5. 研究局限与短板</w:t>
      </w:r>
    </w:p>
    <w:p>
      <w:pPr>
        <w:spacing w:before="0" w:after="120" w:line="264" w:lineRule="auto"/>
      </w:pPr>
      <w:r>
        <w:rPr>
          <w:rFonts w:ascii="Calibri" w:hAnsi="Calibri" w:eastAsia="Microsoft YaHei" w:cs="Calibri"/>
          <w:b w:val="0"/>
          <w:i w:val="0"/>
          <w:sz w:val="22"/>
        </w:rPr>
        <w:t>论文没有单独展开 limitation 章节，因此本节基于正文实验和作者结论归纳。首先，IMPACT 是围绕商用角磨机的单一工业流程构建的深标注基准。它比玩具或家具代理任务更真实，但仍不能代表所有工业流程，例如柔性装配、多人协作、移动机器人视角、流水线多工位和不同材料加工场景。</w:t>
      </w:r>
    </w:p>
    <w:p>
      <w:pPr>
        <w:spacing w:before="0" w:after="120" w:line="264" w:lineRule="auto"/>
      </w:pPr>
      <w:r>
        <w:rPr>
          <w:rFonts w:ascii="Calibri" w:hAnsi="Calibri" w:eastAsia="Microsoft YaHei" w:cs="Calibri"/>
          <w:b w:val="0"/>
          <w:i w:val="0"/>
          <w:sz w:val="22"/>
        </w:rPr>
        <w:t>第二，参与者数量为 13，trial 数为 112。对多视角、多粒度专家标注而言规模已经可观，但对训练大型视觉模型或覆盖极端异常仍偏小。恢复阶段只占 2.22% 帧，对应 1,498 个 segments，论文也指出 recovery 几乎未被强基线解决，这既是现实难点，也是类别不均衡带来的评估挑战。</w:t>
      </w:r>
    </w:p>
    <w:p>
      <w:pPr>
        <w:spacing w:before="0" w:after="120" w:line="264" w:lineRule="auto"/>
      </w:pPr>
      <w:r>
        <w:rPr>
          <w:rFonts w:ascii="Calibri" w:hAnsi="Calibri" w:eastAsia="Microsoft YaHei" w:cs="Calibri"/>
          <w:b w:val="0"/>
          <w:i w:val="0"/>
          <w:sz w:val="22"/>
        </w:rPr>
        <w:t>第三，State &amp; Reasoning 任务仅使用 front exocentric view 的 112 个视频，以保证工作空间可见性。这有助于稳定评估，但也意味着状态推理结论没有完全覆盖所有视角和第一视角。若落地到佩戴式助手或移动相机，还需要重新验证视角可见性。</w:t>
      </w:r>
    </w:p>
    <w:p>
      <w:pPr>
        <w:spacing w:before="0" w:after="120" w:line="264" w:lineRule="auto"/>
      </w:pPr>
      <w:r>
        <w:rPr>
          <w:rFonts w:ascii="Calibri" w:hAnsi="Calibri" w:eastAsia="Microsoft YaHei" w:cs="Calibri"/>
          <w:b w:val="0"/>
          <w:i w:val="0"/>
          <w:sz w:val="22"/>
        </w:rPr>
        <w:t>第四，论文报告的是系统性基线，而不是提出能解决所有任务的新模型。表 2-5 的结果显示现有方法在双手原子动作、跨视角实例对齐、长时预测、恢复识别和 VLM 时间落地上仍明显不足。因此，IMPACT 更像是暴露问题的测量工具，而不是宣称现有技术已可部署。</w:t>
      </w:r>
    </w:p>
    <w:p>
      <w:pPr>
        <w:spacing w:before="0" w:after="120" w:line="264" w:lineRule="auto"/>
      </w:pPr>
      <w:r>
        <w:rPr>
          <w:rFonts w:ascii="Calibri" w:hAnsi="Calibri" w:eastAsia="Microsoft YaHei" w:cs="Calibri"/>
          <w:b w:val="0"/>
          <w:i w:val="0"/>
          <w:sz w:val="22"/>
        </w:rPr>
        <w:t>第五，虽然数据包含 depth、gaze、audio 和 cognitive load，但正文基线主要围绕视频/视觉特征展开。多模态融合、认知负荷对错误预测的作用、音频工具声对步骤识别的帮助等方向，原文没有给出完整量化结论。</w:t>
      </w:r>
    </w:p>
    <w:p>
      <w:pPr>
        <w:pStyle w:val="Heading1"/>
        <w:spacing w:before="320" w:after="160" w:line="264" w:lineRule="auto"/>
      </w:pPr>
      <w:r>
        <w:rPr>
          <w:rFonts w:ascii="Calibri" w:hAnsi="Calibri" w:eastAsia="Microsoft YaHei" w:cs="Calibri"/>
          <w:b/>
          <w:i w:val="0"/>
          <w:color w:val="2E74B5"/>
          <w:sz w:val="32"/>
        </w:rPr>
        <w:t>6. 落地启发（重点）</w:t>
      </w:r>
    </w:p>
    <w:p>
      <w:pPr>
        <w:spacing w:before="160" w:after="80" w:line="264" w:lineRule="auto"/>
      </w:pPr>
      <w:r>
        <w:rPr>
          <w:rFonts w:ascii="Calibri" w:hAnsi="Calibri" w:eastAsia="Microsoft YaHei" w:cs="Calibri"/>
          <w:b/>
          <w:i w:val="0"/>
          <w:color w:val="1F4D78"/>
          <w:sz w:val="24"/>
        </w:rPr>
        <w:t>可直接复用的模块或流程</w:t>
      </w:r>
    </w:p>
    <w:p>
      <w:pPr>
        <w:spacing w:before="0" w:after="120" w:line="264" w:lineRule="auto"/>
      </w:pPr>
      <w:r>
        <w:rPr>
          <w:rFonts w:ascii="Calibri" w:hAnsi="Calibri" w:eastAsia="Microsoft YaHei" w:cs="Calibri"/>
          <w:b/>
          <w:i w:val="0"/>
          <w:color w:val="1F4D78"/>
          <w:sz w:val="22"/>
        </w:rPr>
        <w:t>视频帧提取：</w:t>
      </w:r>
      <w:r>
        <w:rPr>
          <w:rFonts w:ascii="Calibri" w:hAnsi="Calibri" w:eastAsia="Microsoft YaHei" w:cs="Calibri"/>
          <w:b w:val="0"/>
          <w:i w:val="0"/>
          <w:sz w:val="22"/>
        </w:rPr>
        <w:t>IMPACT 的同步 ego-exo 设计提醒我们，单一视角抽帧不等于证据完整。长视频原型可以为每个候选片段保存多视角或多来源帧，并标记“可见/不可见/null span”，把感知不可见和模型识别失败分开。</w:t>
      </w:r>
    </w:p>
    <w:p>
      <w:pPr>
        <w:spacing w:before="0" w:after="120" w:line="264" w:lineRule="auto"/>
      </w:pPr>
      <w:r>
        <w:rPr>
          <w:rFonts w:ascii="Calibri" w:hAnsi="Calibri" w:eastAsia="Microsoft YaHei" w:cs="Calibri"/>
          <w:b/>
          <w:i w:val="0"/>
          <w:color w:val="1F4D78"/>
          <w:sz w:val="22"/>
        </w:rPr>
        <w:t>时序事件抽取：</w:t>
      </w:r>
      <w:r>
        <w:rPr>
          <w:rFonts w:ascii="Calibri" w:hAnsi="Calibri" w:eastAsia="Microsoft YaHei" w:cs="Calibri"/>
          <w:b w:val="0"/>
          <w:i w:val="0"/>
          <w:sz w:val="22"/>
        </w:rPr>
        <w:t>论文的 normal-anomaly-recovery phase 标注非常适合迁移为事件抽取 schema。对工业视频或操作教学视频，可以把事件拆成正常执行、异常偏离、恢复动作三段，并允许异常多标签，而不是只做单点错误分类。</w:t>
      </w:r>
    </w:p>
    <w:p>
      <w:pPr>
        <w:spacing w:before="0" w:after="120" w:line="264" w:lineRule="auto"/>
      </w:pPr>
      <w:r>
        <w:rPr>
          <w:rFonts w:ascii="Calibri" w:hAnsi="Calibri" w:eastAsia="Microsoft YaHei" w:cs="Calibri"/>
          <w:b/>
          <w:i w:val="0"/>
          <w:color w:val="1F4D78"/>
          <w:sz w:val="22"/>
        </w:rPr>
        <w:t>长视频检索：</w:t>
      </w:r>
      <w:r>
        <w:rPr>
          <w:rFonts w:ascii="Calibri" w:hAnsi="Calibri" w:eastAsia="Microsoft YaHei" w:cs="Calibri"/>
          <w:b w:val="0"/>
          <w:i w:val="0"/>
          <w:sz w:val="22"/>
        </w:rPr>
        <w:t>IMPACT 的多粒度标签可启发分层索引：先按 coarse procedural step 建立粗检索，再按 hand-specific atomic action、component state 和 anomaly type 做细检索。这样能让长视频检索从“找相似画面”升级为“找某个组件状态变化或某类恢复行为”。</w:t>
      </w:r>
    </w:p>
    <w:p>
      <w:pPr>
        <w:spacing w:before="0" w:after="120" w:line="264" w:lineRule="auto"/>
      </w:pPr>
      <w:r>
        <w:rPr>
          <w:rFonts w:ascii="Calibri" w:hAnsi="Calibri" w:eastAsia="Microsoft YaHei" w:cs="Calibri"/>
          <w:b/>
          <w:i w:val="0"/>
          <w:color w:val="1F4D78"/>
          <w:sz w:val="22"/>
        </w:rPr>
        <w:t>Agent 工作流原型：</w:t>
      </w:r>
      <w:r>
        <w:rPr>
          <w:rFonts w:ascii="Calibri" w:hAnsi="Calibri" w:eastAsia="Microsoft YaHei" w:cs="Calibri"/>
          <w:b w:val="0"/>
          <w:i w:val="0"/>
          <w:sz w:val="22"/>
        </w:rPr>
        <w:t>可以把 IMPACT 的四类任务映射成 Agent 节点：Temporal Segmenter、Cross-view Retriever、Forecasting Planner、State Reasoner。每个节点输出结构化证据，最终由决策节点判断当前流程是否合规、下一步可能是什么、是否需要人工介入。</w:t>
      </w:r>
    </w:p>
    <w:p>
      <w:pPr>
        <w:spacing w:before="160" w:after="80" w:line="264" w:lineRule="auto"/>
      </w:pPr>
      <w:r>
        <w:rPr>
          <w:rFonts w:ascii="Calibri" w:hAnsi="Calibri" w:eastAsia="Microsoft YaHei" w:cs="Calibri"/>
          <w:b/>
          <w:i w:val="0"/>
          <w:color w:val="1F4D78"/>
          <w:sz w:val="24"/>
        </w:rPr>
        <w:t>需要二次验证后才能采用的思路</w:t>
      </w:r>
    </w:p>
    <w:p>
      <w:pPr>
        <w:spacing w:before="0" w:after="120" w:line="264" w:lineRule="auto"/>
      </w:pPr>
      <w:r>
        <w:rPr>
          <w:rFonts w:ascii="Calibri" w:hAnsi="Calibri" w:eastAsia="Microsoft YaHei" w:cs="Calibri"/>
          <w:b/>
          <w:i w:val="0"/>
          <w:color w:val="1F4D78"/>
          <w:sz w:val="22"/>
        </w:rPr>
        <w:t>跨视角证据融合：</w:t>
      </w:r>
      <w:r>
        <w:rPr>
          <w:rFonts w:ascii="Calibri" w:hAnsi="Calibri" w:eastAsia="Microsoft YaHei" w:cs="Calibri"/>
          <w:b w:val="0"/>
          <w:i w:val="0"/>
          <w:sz w:val="22"/>
        </w:rPr>
        <w:t>论文显示跨视角实例对齐很难，MViTv2 global CV-TA R@1 只有 1.40。落地时不能假设多视角天然互补，需要评估不同视角之间的时间同步、遮挡和实例级对应质量。</w:t>
      </w:r>
    </w:p>
    <w:p>
      <w:pPr>
        <w:spacing w:before="0" w:after="120" w:line="264" w:lineRule="auto"/>
      </w:pPr>
      <w:r>
        <w:rPr>
          <w:rFonts w:ascii="Calibri" w:hAnsi="Calibri" w:eastAsia="Microsoft YaHei" w:cs="Calibri"/>
          <w:b/>
          <w:i w:val="0"/>
          <w:color w:val="1F4D78"/>
          <w:sz w:val="22"/>
        </w:rPr>
        <w:t>长时动作预测：</w:t>
      </w:r>
      <w:r>
        <w:rPr>
          <w:rFonts w:ascii="Calibri" w:hAnsi="Calibri" w:eastAsia="Microsoft YaHei" w:cs="Calibri"/>
          <w:b w:val="0"/>
          <w:i w:val="0"/>
          <w:sz w:val="22"/>
        </w:rPr>
        <w:t>ScalAnt+I3D 的 AF-L AUED 为 0.622，Qwen3VL-8B 为 0.827，说明零样本 VLM 不能直接承担工业长时预测。若要让 Agent 预测后续步骤，需要显式引入 prerequisite graph、当前组件状态和多候选路径。</w:t>
      </w:r>
    </w:p>
    <w:p>
      <w:pPr>
        <w:spacing w:before="0" w:after="120" w:line="264" w:lineRule="auto"/>
      </w:pPr>
      <w:r>
        <w:rPr>
          <w:rFonts w:ascii="Calibri" w:hAnsi="Calibri" w:eastAsia="Microsoft YaHei" w:cs="Calibri"/>
          <w:b/>
          <w:i w:val="0"/>
          <w:color w:val="1F4D78"/>
          <w:sz w:val="22"/>
        </w:rPr>
        <w:t>状态跟踪粒度：</w:t>
      </w:r>
      <w:r>
        <w:rPr>
          <w:rFonts w:ascii="Calibri" w:hAnsi="Calibri" w:eastAsia="Microsoft YaHei" w:cs="Calibri"/>
          <w:b w:val="0"/>
          <w:i w:val="0"/>
          <w:sz w:val="22"/>
        </w:rPr>
        <w:t>IMPACT 的 17 组件三值状态很清晰，但其他研发场景可能需要更多状态，如缺失、已拿起、已放置、待确认、遮挡不可见。状态 schema 应根据业务流程重新设计，而不是机械照搬三值。</w:t>
      </w:r>
    </w:p>
    <w:p>
      <w:pPr>
        <w:spacing w:before="0" w:after="120" w:line="264" w:lineRule="auto"/>
      </w:pPr>
      <w:r>
        <w:rPr>
          <w:rFonts w:ascii="Calibri" w:hAnsi="Calibri" w:eastAsia="Microsoft YaHei" w:cs="Calibri"/>
          <w:b/>
          <w:i w:val="0"/>
          <w:color w:val="1F4D78"/>
          <w:sz w:val="22"/>
        </w:rPr>
        <w:t>认知负荷信号：</w:t>
      </w:r>
      <w:r>
        <w:rPr>
          <w:rFonts w:ascii="Calibri" w:hAnsi="Calibri" w:eastAsia="Microsoft YaHei" w:cs="Calibri"/>
          <w:b w:val="0"/>
          <w:i w:val="0"/>
          <w:sz w:val="22"/>
        </w:rPr>
        <w:t>NASA-TLX 是很有价值的人因元数据，但正文没有证明它能提升模型预测。若要用于 Agent 风险提示或人机协同策略，需要单独做相关性和因果验证。</w:t>
      </w:r>
    </w:p>
    <w:p>
      <w:pPr>
        <w:spacing w:before="160" w:after="80" w:line="264" w:lineRule="auto"/>
      </w:pPr>
      <w:r>
        <w:rPr>
          <w:rFonts w:ascii="Calibri" w:hAnsi="Calibri" w:eastAsia="Microsoft YaHei" w:cs="Calibri"/>
          <w:b/>
          <w:i w:val="0"/>
          <w:color w:val="1F4D78"/>
          <w:sz w:val="24"/>
        </w:rPr>
        <w:t>当前不适合落地或风险较高的部分</w:t>
      </w:r>
    </w:p>
    <w:p>
      <w:pPr>
        <w:spacing w:before="0" w:after="120" w:line="264" w:lineRule="auto"/>
      </w:pPr>
      <w:r>
        <w:rPr>
          <w:rFonts w:ascii="Calibri" w:hAnsi="Calibri" w:eastAsia="Microsoft YaHei" w:cs="Calibri"/>
          <w:b/>
          <w:i w:val="0"/>
          <w:color w:val="1F4D78"/>
          <w:sz w:val="22"/>
        </w:rPr>
        <w:t>纯 VLM 零样本流程监控：</w:t>
      </w:r>
      <w:r>
        <w:rPr>
          <w:rFonts w:ascii="Calibri" w:hAnsi="Calibri" w:eastAsia="Microsoft YaHei" w:cs="Calibri"/>
          <w:b w:val="0"/>
          <w:i w:val="0"/>
          <w:sz w:val="22"/>
        </w:rPr>
        <w:t>论文显示 Gemini 3.1 Pro 有较强程序顺序先验，但完成事件检测延迟达到 19.26 s；Qwen3VL-8B 在预测任务上也明显弱。当前不应把通用 VLM 直接作为生产级流程监控核心。</w:t>
      </w:r>
    </w:p>
    <w:p>
      <w:pPr>
        <w:spacing w:before="0" w:after="120" w:line="264" w:lineRule="auto"/>
      </w:pPr>
      <w:r>
        <w:rPr>
          <w:rFonts w:ascii="Calibri" w:hAnsi="Calibri" w:eastAsia="Microsoft YaHei" w:cs="Calibri"/>
          <w:b/>
          <w:i w:val="0"/>
          <w:color w:val="1F4D78"/>
          <w:sz w:val="22"/>
        </w:rPr>
        <w:t>只依赖单视角第一人称视频：</w:t>
      </w:r>
      <w:r>
        <w:rPr>
          <w:rFonts w:ascii="Calibri" w:hAnsi="Calibri" w:eastAsia="Microsoft YaHei" w:cs="Calibri"/>
          <w:b w:val="0"/>
          <w:i w:val="0"/>
          <w:sz w:val="22"/>
        </w:rPr>
        <w:t>egocentric observability gap 是论文明确暴露的挑战。手和工具遮挡会让关键证据消失，单一第一视角更适合作为操作员辅助输入，而不是完整状态判定的唯一依据。</w:t>
      </w:r>
    </w:p>
    <w:p>
      <w:pPr>
        <w:spacing w:before="0" w:after="120" w:line="264" w:lineRule="auto"/>
      </w:pPr>
      <w:r>
        <w:rPr>
          <w:rFonts w:ascii="Calibri" w:hAnsi="Calibri" w:eastAsia="Microsoft YaHei" w:cs="Calibri"/>
          <w:b/>
          <w:i w:val="0"/>
          <w:color w:val="1F4D78"/>
          <w:sz w:val="22"/>
        </w:rPr>
        <w:t>把恢复识别作为已解决能力：</w:t>
      </w:r>
      <w:r>
        <w:rPr>
          <w:rFonts w:ascii="Calibri" w:hAnsi="Calibri" w:eastAsia="Microsoft YaHei" w:cs="Calibri"/>
          <w:b w:val="0"/>
          <w:i w:val="0"/>
          <w:sz w:val="22"/>
        </w:rPr>
        <w:t>恢复阶段只占 2.22%，强基线的 recovery F1 仍接近不可用。对安全相关 Agent，恢复动作必须保留人工复核或多传感器确认，不能只依赖视频模型自动判断。</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s="Calibri"/>
        <w:b w:val="0"/>
        <w:i w:val="0"/>
        <w:color w:val="5A5A5A"/>
        <w:sz w:val="18"/>
      </w:rPr>
      <w:t xml:space="preserve">Page </w:t>
    </w:r>
    <w:r>
      <w:rPr>
        <w:rFonts w:ascii="Calibri" w:hAnsi="Calibri" w:eastAsia="Microsoft YaHei" w:cs="Calibri"/>
        <w:color w:val="5A5A5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Microsoft YaHei" w:cs="Calibri"/>
        <w:b w:val="0"/>
        <w:i w:val="0"/>
        <w:color w:val="5A5A5A"/>
        <w:sz w:val="18"/>
      </w:rPr>
      <w:t>Paper Technical Report - IMPACT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