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le"/>
      </w:pPr>
      <w:r>
        <w:rPr>
          <w:rFonts w:ascii="Calibri" w:hAnsi="Calibri" w:eastAsia="Microsoft YaHei"/>
        </w:rPr>
        <w:t xml:space="preserve">2026-06-01 China News Weekly</w:t>
      </w:r>
    </w:p>
    <w:p>
      <w:pPr>
        <w:pStyle w:val="Subtitle"/>
      </w:pPr>
      <w:r>
        <w:rPr>
          <w:rFonts w:ascii="Calibri" w:hAnsi="Calibri" w:eastAsia="Microsoft YaHei"/>
        </w:rPr>
        <w:t xml:space="preserve">Coverage Window: 2026-05-25 to 2026-05-31 (previous complete natural week)</w:t>
      </w:r>
    </w:p>
    <w:p>
      <w:pPr>
        <w:pStyle w:val="Subtitle"/>
      </w:pPr>
      <w:r>
        <w:rPr>
          <w:rFonts w:ascii="Calibri" w:hAnsi="Calibri" w:eastAsia="Microsoft YaHei"/>
        </w:rPr>
        <w:t xml:space="preserve">Archive Monday: 2026-06-01 | Generated in Asia/Shanghai context</w:t>
      </w:r>
    </w:p>
    <w:p>
      <w:r>
        <w:br w:type="page"/>
      </w:r>
    </w:p>
    <w:p>
      <w:pPr>
        <w:pStyle w:val="Heading1"/>
      </w:pPr>
      <w:r>
        <w:rPr>
          <w:rFonts w:ascii="Calibri" w:hAnsi="Calibri" w:eastAsia="Microsoft YaHei"/>
        </w:rPr>
        <w:t xml:space="preserve">Executive Summary</w:t>
      </w:r>
    </w:p>
    <w:p>
      <w:pPr>
        <w:pStyle w:val="Body"/>
      </w:pPr>
      <w:r>
        <w:rPr>
          <w:rFonts w:ascii="Calibri" w:hAnsi="Calibri" w:eastAsia="Microsoft YaHei"/>
        </w:rPr>
        <w:t xml:space="preserve">• May PMI suggested stabilization without strong manufacturing reacceleration.</w:t>
      </w:r>
    </w:p>
    <w:p>
      <w:pPr>
        <w:pStyle w:val="Body"/>
      </w:pPr>
      <w:r>
        <w:rPr>
          <w:rFonts w:ascii="Calibri" w:hAnsi="Calibri" w:eastAsia="Microsoft YaHei"/>
        </w:rPr>
        <w:t xml:space="preserve">• Industrial profits confirmed that advanced manufacturing remains a structural earnings engine even when aggregate conditions stay mixed.</w:t>
      </w:r>
    </w:p>
    <w:p>
      <w:pPr>
        <w:pStyle w:val="Body"/>
      </w:pPr>
      <w:r>
        <w:rPr>
          <w:rFonts w:ascii="Calibri" w:hAnsi="Calibri" w:eastAsia="Microsoft YaHei"/>
        </w:rPr>
        <w:t xml:space="preserve">• The 'AI plus power' notice was the week's clearest sign that Chinese AI policy is moving from slogan to operational sector scenarios.</w:t>
      </w:r>
    </w:p>
    <w:p>
      <w:pPr>
        <w:pStyle w:val="Body"/>
      </w:pPr>
      <w:r>
        <w:rPr>
          <w:rFonts w:ascii="Calibri" w:hAnsi="Calibri" w:eastAsia="Microsoft YaHei"/>
        </w:rPr>
        <w:t xml:space="preserve">• National Science and Technology Week showed how technology communication and industrial policy are being linked more tightly.</w:t>
      </w:r>
    </w:p>
    <w:p>
      <w:pPr>
        <w:pStyle w:val="Body"/>
      </w:pPr>
      <w:r>
        <w:rPr>
          <w:rFonts w:ascii="Calibri" w:hAnsi="Calibri" w:eastAsia="Microsoft YaHei"/>
        </w:rPr>
        <w:t xml:space="preserve">• The visa-free policy for five Latin American countries showed that opening-up continues through practical, low-friction measures.</w:t>
      </w:r>
    </w:p>
    <w:p>
      <w:pPr>
        <w:pStyle w:val="Body"/>
      </w:pPr>
      <w:r>
        <w:rPr>
          <w:rFonts w:ascii="Calibri" w:hAnsi="Calibri" w:eastAsia="Microsoft YaHei"/>
        </w:rPr>
        <w:t xml:space="preserve">• Overall, the week's Chinese story was about improving structure rather than explosive headline growth.</w:t>
      </w:r>
    </w:p>
    <w:p>
      <w:pPr>
        <w:pStyle w:val="Heading1"/>
      </w:pPr>
      <w:r>
        <w:rPr>
          <w:rFonts w:ascii="Calibri" w:hAnsi="Calibri" w:eastAsia="Microsoft YaHei"/>
        </w:rPr>
        <w:t xml:space="preserve">Weekly Context</w:t>
      </w:r>
    </w:p>
    <w:p>
      <w:pPr>
        <w:pStyle w:val="Body"/>
      </w:pPr>
      <w:r>
        <w:rPr>
          <w:rFonts w:ascii="Calibri" w:hAnsi="Calibri" w:eastAsia="Microsoft YaHei"/>
        </w:rPr>
        <w:t xml:space="preserve">This week's China-related story was not about one dramatic macro surprise. It was about a familiar but important policy pattern: growth support continues, yet policy language and industrial signals are becoming more concrete and sector-directed. That combination matters because it helps distinguish between short-term sentiment repair and long-term economic repositioning.</w:t>
      </w:r>
    </w:p>
    <w:p>
      <w:pPr>
        <w:pStyle w:val="Body"/>
      </w:pPr>
      <w:r>
        <w:rPr>
          <w:rFonts w:ascii="Calibri" w:hAnsi="Calibri" w:eastAsia="Microsoft YaHei"/>
        </w:rPr>
        <w:t xml:space="preserve">The macro data showed that China still needs steadying forces. The policy signals showed where those forces are being sought: advanced manufacturing, industry-specific AI deployment, public technology mobilization and pragmatic opening-up. For someone tracking industrial technology and engineering careers, those are more informative than broad GDP-level optimism or pessimism.</w:t>
      </w:r>
    </w:p>
    <w:p>
      <w:pPr>
        <w:pStyle w:val="Heading1"/>
      </w:pPr>
      <w:r>
        <w:rPr>
          <w:rFonts w:ascii="Calibri" w:hAnsi="Calibri" w:eastAsia="Microsoft YaHei"/>
        </w:rPr>
        <w:t xml:space="preserve">Major Events And Deep Dives</w:t>
      </w:r>
    </w:p>
    <w:p>
      <w:pPr>
        <w:pStyle w:val="Heading2"/>
      </w:pPr>
      <w:r>
        <w:rPr>
          <w:rFonts w:ascii="Calibri" w:hAnsi="Calibri" w:eastAsia="Microsoft YaHei"/>
        </w:rPr>
        <w:t xml:space="preserve">1. May PMI showed stabilization rather than strong recovery</w:t>
      </w:r>
    </w:p>
    <w:p>
      <w:pPr>
        <w:pStyle w:val="Body"/>
      </w:pPr>
      <w:r>
        <w:rPr>
          <w:rFonts w:ascii="Calibri" w:hAnsi="Calibri" w:eastAsia="Microsoft YaHei"/>
        </w:rPr>
        <w:t xml:space="preserve">On 2026-05-31, the National Bureau of Statistics reported that the manufacturing PMI rose to 49.5, the non-manufacturing business activity index was 50.3, and the composite PMI output index was 50.4. The most important reading is not exuberance, but differentiation: manufacturing improved but remained below the boom-bust line, while services and construction continued to provide support.</w:t>
      </w:r>
    </w:p>
    <w:p>
      <w:pPr>
        <w:pStyle w:val="Heading2"/>
      </w:pPr>
      <w:r>
        <w:rPr>
          <w:rFonts w:ascii="Calibri" w:hAnsi="Calibri" w:eastAsia="Microsoft YaHei"/>
        </w:rPr>
        <w:t xml:space="preserve">Context</w:t>
      </w:r>
    </w:p>
    <w:p>
      <w:pPr>
        <w:pStyle w:val="Body"/>
      </w:pPr>
      <w:r>
        <w:rPr>
          <w:rFonts w:ascii="Calibri" w:hAnsi="Calibri" w:eastAsia="Microsoft YaHei"/>
        </w:rPr>
        <w:t xml:space="preserve">China has been trying to balance steady growth with structural transformation. Property weakness, local-government stress, external-demand uncertainty and soft price dynamics mean macro data are watched closely for any sign of either relapse or acceleration. This week's release suggested the economy has not lost the floor, but it has not entered a convincing broad-based upswing either.</w:t>
      </w:r>
    </w:p>
    <w:p>
      <w:pPr>
        <w:pStyle w:val="Heading2"/>
      </w:pPr>
      <w:r>
        <w:rPr>
          <w:rFonts w:ascii="Calibri" w:hAnsi="Calibri" w:eastAsia="Microsoft YaHei"/>
        </w:rPr>
        <w:t xml:space="preserve">Causes</w:t>
      </w:r>
    </w:p>
    <w:p>
      <w:pPr>
        <w:pStyle w:val="Body"/>
      </w:pPr>
      <w:r>
        <w:rPr>
          <w:rFonts w:ascii="Calibri" w:hAnsi="Calibri" w:eastAsia="Microsoft YaHei"/>
        </w:rPr>
        <w:t xml:space="preserve">The immediate drivers include the gradual transmission of earlier support policies, resilient activity in services and infrastructure-related segments, and some improvement in selected industrial categories. The deeper reason is that the economy remains in a transition from property-heavy growth toward manufacturing upgrading and services stabilization, and transitions of this kind rarely move in a straight line.</w:t>
      </w:r>
    </w:p>
    <w:p>
      <w:pPr>
        <w:pStyle w:val="Heading2"/>
      </w:pPr>
      <w:r>
        <w:rPr>
          <w:rFonts w:ascii="Calibri" w:hAnsi="Calibri" w:eastAsia="Microsoft YaHei"/>
        </w:rPr>
        <w:t xml:space="preserve">Consequences</w:t>
      </w:r>
    </w:p>
    <w:p>
      <w:pPr>
        <w:pStyle w:val="Body"/>
      </w:pPr>
      <w:r>
        <w:rPr>
          <w:rFonts w:ascii="Calibri" w:hAnsi="Calibri" w:eastAsia="Microsoft YaHei"/>
        </w:rPr>
        <w:t xml:space="preserve">In the short term, the data support a 'steady but still fragile' macro narrative. In the medium term, further policy calibration is likely because a sub-50 manufacturing PMI still signals uneven confidence. In the long term, such data reinforce the push toward higher-quality growth where technological upgrading matters more than a simple return to old real-estate-led dynamics.</w:t>
      </w:r>
    </w:p>
    <w:p>
      <w:pPr>
        <w:pStyle w:val="Heading2"/>
      </w:pPr>
      <w:r>
        <w:rPr>
          <w:rFonts w:ascii="Calibri" w:hAnsi="Calibri" w:eastAsia="Microsoft YaHei"/>
        </w:rPr>
        <w:t xml:space="preserve">2. Industrial profits kept growing, with equipment manufacturing as the structural bright spot</w:t>
      </w:r>
    </w:p>
    <w:p>
      <w:pPr>
        <w:pStyle w:val="Body"/>
      </w:pPr>
      <w:r>
        <w:rPr>
          <w:rFonts w:ascii="Calibri" w:hAnsi="Calibri" w:eastAsia="Microsoft YaHei"/>
        </w:rPr>
        <w:t xml:space="preserve">On 2026-05-27, the NBS reported that profits of above-scale industrial enterprises rose 1.4% year on year in January-April, while equipment manufacturing profits rose 11.2%. The key message is that profitability is not broadly strong, but it is concentrating in higher-value industrial segments.</w:t>
      </w:r>
    </w:p>
    <w:p>
      <w:pPr>
        <w:pStyle w:val="Heading2"/>
      </w:pPr>
      <w:r>
        <w:rPr>
          <w:rFonts w:ascii="Calibri" w:hAnsi="Calibri" w:eastAsia="Microsoft YaHei"/>
        </w:rPr>
        <w:t xml:space="preserve">Context</w:t>
      </w:r>
    </w:p>
    <w:p>
      <w:pPr>
        <w:pStyle w:val="Body"/>
      </w:pPr>
      <w:r>
        <w:rPr>
          <w:rFonts w:ascii="Calibri" w:hAnsi="Calibri" w:eastAsia="Microsoft YaHei"/>
        </w:rPr>
        <w:t xml:space="preserve">Industrial profits are one of the best windows into the real operating quality of firms because they reflect cash generation, pricing power and investment incentives more directly than simple output figures do. This week's release matters because it showed that advanced industrial segments are still absorbing policy support and market demand more effectively than traditional low-value segments.</w:t>
      </w:r>
    </w:p>
    <w:p>
      <w:pPr>
        <w:pStyle w:val="Heading2"/>
      </w:pPr>
      <w:r>
        <w:rPr>
          <w:rFonts w:ascii="Calibri" w:hAnsi="Calibri" w:eastAsia="Microsoft YaHei"/>
        </w:rPr>
        <w:t xml:space="preserve">Causes</w:t>
      </w:r>
    </w:p>
    <w:p>
      <w:pPr>
        <w:pStyle w:val="Body"/>
      </w:pPr>
      <w:r>
        <w:rPr>
          <w:rFonts w:ascii="Calibri" w:hAnsi="Calibri" w:eastAsia="Microsoft YaHei"/>
        </w:rPr>
        <w:t xml:space="preserve">The immediate causes include equipment-upgrade policies, continued investment in strategic sectors, and the stronger pricing or order resilience of higher-end manufacturing. The deeper cause is that China's industrial structure is gradually reallocating toward sectors where automation, systems integration and technological sophistication generate better margins.</w:t>
      </w:r>
    </w:p>
    <w:p>
      <w:pPr>
        <w:pStyle w:val="Heading2"/>
      </w:pPr>
      <w:r>
        <w:rPr>
          <w:rFonts w:ascii="Calibri" w:hAnsi="Calibri" w:eastAsia="Microsoft YaHei"/>
        </w:rPr>
        <w:t xml:space="preserve">Consequences</w:t>
      </w:r>
    </w:p>
    <w:p>
      <w:pPr>
        <w:pStyle w:val="Body"/>
      </w:pPr>
      <w:r>
        <w:rPr>
          <w:rFonts w:ascii="Calibri" w:hAnsi="Calibri" w:eastAsia="Microsoft YaHei"/>
        </w:rPr>
        <w:t xml:space="preserve">In the short term, the data help stabilize market expectations around industrial earnings. In the medium term, they imply continued divergence between advanced manufacturing and weaker traditional segments. In the long term, they strengthen the logic for more resources flowing into industrial software, smart equipment, robotics and related engineering talent.</w:t>
      </w:r>
    </w:p>
    <w:p>
      <w:pPr>
        <w:pStyle w:val="Heading2"/>
      </w:pPr>
      <w:r>
        <w:rPr>
          <w:rFonts w:ascii="Calibri" w:hAnsi="Calibri" w:eastAsia="Microsoft YaHei"/>
        </w:rPr>
        <w:t xml:space="preserve">3. The 'AI plus power' policy marked a more concrete stage of industry-AI integration</w:t>
      </w:r>
    </w:p>
    <w:p>
      <w:pPr>
        <w:pStyle w:val="Body"/>
      </w:pPr>
      <w:r>
        <w:rPr>
          <w:rFonts w:ascii="Calibri" w:hAnsi="Calibri" w:eastAsia="Microsoft YaHei"/>
        </w:rPr>
        <w:t xml:space="preserve">On 2026-05-29, the National Energy Administration issued a notice on promoting 'artificial intelligence plus' action to support power-system intelligence, proposing 50 typical application scenarios over the next three to five years. This is one of the week's most important practical policy signals because it moved AI discussion from abstract capability to sector-specific deployment.</w:t>
      </w:r>
    </w:p>
    <w:p>
      <w:pPr>
        <w:pStyle w:val="Heading2"/>
      </w:pPr>
      <w:r>
        <w:rPr>
          <w:rFonts w:ascii="Calibri" w:hAnsi="Calibri" w:eastAsia="Microsoft YaHei"/>
        </w:rPr>
        <w:t xml:space="preserve">Context</w:t>
      </w:r>
    </w:p>
    <w:p>
      <w:pPr>
        <w:pStyle w:val="Body"/>
      </w:pPr>
      <w:r>
        <w:rPr>
          <w:rFonts w:ascii="Calibri" w:hAnsi="Calibri" w:eastAsia="Microsoft YaHei"/>
        </w:rPr>
        <w:t xml:space="preserve">Power systems are data-rich, real-time, safety-critical and optimization-heavy. That makes them one of the most realistic early landing zones for AI. The policy's significance lies in the fact that it speaks directly to planning, dispatch, operation, maintenance and security scenarios rather than just generic innovation rhetoric.</w:t>
      </w:r>
    </w:p>
    <w:p>
      <w:pPr>
        <w:pStyle w:val="Heading2"/>
      </w:pPr>
      <w:r>
        <w:rPr>
          <w:rFonts w:ascii="Calibri" w:hAnsi="Calibri" w:eastAsia="Microsoft YaHei"/>
        </w:rPr>
        <w:t xml:space="preserve">Causes</w:t>
      </w:r>
    </w:p>
    <w:p>
      <w:pPr>
        <w:pStyle w:val="Body"/>
      </w:pPr>
      <w:r>
        <w:rPr>
          <w:rFonts w:ascii="Calibri" w:hAnsi="Calibri" w:eastAsia="Microsoft YaHei"/>
        </w:rPr>
        <w:t xml:space="preserve">The direct cause is the rising complexity of power systems as renewable penetration, grid balancing and real-time coordination requirements increase. The deeper cause is that China increasingly needs AI to prove itself inside strategic sectors where measurable efficiency and reliability gains can justify sustained investment.</w:t>
      </w:r>
    </w:p>
    <w:p>
      <w:pPr>
        <w:pStyle w:val="Heading2"/>
      </w:pPr>
      <w:r>
        <w:rPr>
          <w:rFonts w:ascii="Calibri" w:hAnsi="Calibri" w:eastAsia="Microsoft YaHei"/>
        </w:rPr>
        <w:t xml:space="preserve">Consequences</w:t>
      </w:r>
    </w:p>
    <w:p>
      <w:pPr>
        <w:pStyle w:val="Body"/>
      </w:pPr>
      <w:r>
        <w:rPr>
          <w:rFonts w:ascii="Calibri" w:hAnsi="Calibri" w:eastAsia="Microsoft YaHei"/>
        </w:rPr>
        <w:t xml:space="preserve">In the short term, the policy sharpens expectations for projects in power informatics, operations intelligence, edge sensing and industrial software. In the medium term, it will force more attention to standards, data governance, model evaluation and safety assurance in real sectors. In the long term, it confirms that the most durable AI engineering careers will come from embedding models into complex industrial systems, not only building general chat interfaces.</w:t>
      </w:r>
    </w:p>
    <w:p>
      <w:pPr>
        <w:pStyle w:val="Heading2"/>
      </w:pPr>
      <w:r>
        <w:rPr>
          <w:rFonts w:ascii="Calibri" w:hAnsi="Calibri" w:eastAsia="Microsoft YaHei"/>
        </w:rPr>
        <w:t xml:space="preserve">4. National Science and Technology Week reinforced the coupling of public narrative and industrial strategy</w:t>
      </w:r>
    </w:p>
    <w:p>
      <w:pPr>
        <w:pStyle w:val="Body"/>
      </w:pPr>
      <w:r>
        <w:rPr>
          <w:rFonts w:ascii="Calibri" w:hAnsi="Calibri" w:eastAsia="Microsoft YaHei"/>
        </w:rPr>
        <w:t xml:space="preserve">The 2026 National Science and Technology Week ran through 2026-05-31 and entered its concentrated phase during the reporting window. While often viewed as a science-popularization event, it also functions as a signal about which technologies are being integrated into the broader national narrative of modernization, industrial upgrading and strategic capability.</w:t>
      </w:r>
    </w:p>
    <w:p>
      <w:pPr>
        <w:pStyle w:val="Heading2"/>
      </w:pPr>
      <w:r>
        <w:rPr>
          <w:rFonts w:ascii="Calibri" w:hAnsi="Calibri" w:eastAsia="Microsoft YaHei"/>
        </w:rPr>
        <w:t xml:space="preserve">Context</w:t>
      </w:r>
    </w:p>
    <w:p>
      <w:pPr>
        <w:pStyle w:val="Body"/>
      </w:pPr>
      <w:r>
        <w:rPr>
          <w:rFonts w:ascii="Calibri" w:hAnsi="Calibri" w:eastAsia="Microsoft YaHei"/>
        </w:rPr>
        <w:t xml:space="preserve">When a country repeatedly highlights AI, smart equipment, advanced manufacturing and science education in a coordinated public format, it is not merely doing outreach. It is shaping expectations among schools, local governments, firms and the public about where future opportunities, resources and social legitimacy are likely to concentrate.</w:t>
      </w:r>
    </w:p>
    <w:p>
      <w:pPr>
        <w:pStyle w:val="Heading2"/>
      </w:pPr>
      <w:r>
        <w:rPr>
          <w:rFonts w:ascii="Calibri" w:hAnsi="Calibri" w:eastAsia="Microsoft YaHei"/>
        </w:rPr>
        <w:t xml:space="preserve">Causes</w:t>
      </w:r>
    </w:p>
    <w:p>
      <w:pPr>
        <w:pStyle w:val="Body"/>
      </w:pPr>
      <w:r>
        <w:rPr>
          <w:rFonts w:ascii="Calibri" w:hAnsi="Calibri" w:eastAsia="Microsoft YaHei"/>
        </w:rPr>
        <w:t xml:space="preserve">The immediate cause is the need to improve social understanding of innovation while supporting technology diffusion. The deeper cause is that competition in this era is not just laboratory competition; it is also competition in industrial adoption, talent pipelines and national confidence around technology direction.</w:t>
      </w:r>
    </w:p>
    <w:p>
      <w:pPr>
        <w:pStyle w:val="Heading2"/>
      </w:pPr>
      <w:r>
        <w:rPr>
          <w:rFonts w:ascii="Calibri" w:hAnsi="Calibri" w:eastAsia="Microsoft YaHei"/>
        </w:rPr>
        <w:t xml:space="preserve">Consequences</w:t>
      </w:r>
    </w:p>
    <w:p>
      <w:pPr>
        <w:pStyle w:val="Body"/>
      </w:pPr>
      <w:r>
        <w:rPr>
          <w:rFonts w:ascii="Calibri" w:hAnsi="Calibri" w:eastAsia="Microsoft YaHei"/>
        </w:rPr>
        <w:t xml:space="preserve">In the short term, the event itself does not change macro outcomes, but it raises the visibility of strategic technologies. In the medium term, such coordination helps connect research, policy and public expectations. In the long term, it increases the value of people who can both understand systems and explain how technology is translated into practical projects.</w:t>
      </w:r>
    </w:p>
    <w:p>
      <w:pPr>
        <w:pStyle w:val="Heading2"/>
      </w:pPr>
      <w:r>
        <w:rPr>
          <w:rFonts w:ascii="Calibri" w:hAnsi="Calibri" w:eastAsia="Microsoft YaHei"/>
        </w:rPr>
        <w:t xml:space="preserve">5. Visa-free access for five Latin American countries continued the logic of detail-oriented opening-up</w:t>
      </w:r>
    </w:p>
    <w:p>
      <w:pPr>
        <w:pStyle w:val="Body"/>
      </w:pPr>
      <w:r>
        <w:rPr>
          <w:rFonts w:ascii="Calibri" w:hAnsi="Calibri" w:eastAsia="Microsoft YaHei"/>
        </w:rPr>
        <w:t xml:space="preserve">China announced a trial visa-free policy for ordinary passport holders from Brazil, Argentina, Chile, Peru and Uruguay beginning 2026-06-01. Although implementation starts after the reporting week, the policy became a meaningful signal during this period because it showed continued reliance on convenience-based opening measures in a complicated external environment.</w:t>
      </w:r>
    </w:p>
    <w:p>
      <w:pPr>
        <w:pStyle w:val="Heading2"/>
      </w:pPr>
      <w:r>
        <w:rPr>
          <w:rFonts w:ascii="Calibri" w:hAnsi="Calibri" w:eastAsia="Microsoft YaHei"/>
        </w:rPr>
        <w:t xml:space="preserve">Context</w:t>
      </w:r>
    </w:p>
    <w:p>
      <w:pPr>
        <w:pStyle w:val="Body"/>
      </w:pPr>
      <w:r>
        <w:rPr>
          <w:rFonts w:ascii="Calibri" w:hAnsi="Calibri" w:eastAsia="Microsoft YaHei"/>
        </w:rPr>
        <w:t xml:space="preserve">In a world shaped by trade friction and geopolitical fragmentation, low-cost but high-visibility measures such as visa facilitation, business-travel convenience and exhibition cooperation become important tools for maintaining external connectivity. This policy matters especially because it targets major Latin American economies rather than only traditional developed-country partners.</w:t>
      </w:r>
    </w:p>
    <w:p>
      <w:pPr>
        <w:pStyle w:val="Heading2"/>
      </w:pPr>
      <w:r>
        <w:rPr>
          <w:rFonts w:ascii="Calibri" w:hAnsi="Calibri" w:eastAsia="Microsoft YaHei"/>
        </w:rPr>
        <w:t xml:space="preserve">Causes</w:t>
      </w:r>
    </w:p>
    <w:p>
      <w:pPr>
        <w:pStyle w:val="Body"/>
      </w:pPr>
      <w:r>
        <w:rPr>
          <w:rFonts w:ascii="Calibri" w:hAnsi="Calibri" w:eastAsia="Microsoft YaHei"/>
        </w:rPr>
        <w:t xml:space="preserve">The direct cause is China's effort to support business exchange, tourism and local cooperation. The deeper cause is that when the external environment becomes more uncertain, opening-up often advances through practical institutional details rather than grand slogans alone.</w:t>
      </w:r>
    </w:p>
    <w:p>
      <w:pPr>
        <w:pStyle w:val="Heading2"/>
      </w:pPr>
      <w:r>
        <w:rPr>
          <w:rFonts w:ascii="Calibri" w:hAnsi="Calibri" w:eastAsia="Microsoft YaHei"/>
        </w:rPr>
        <w:t xml:space="preserve">Consequences</w:t>
      </w:r>
    </w:p>
    <w:p>
      <w:pPr>
        <w:pStyle w:val="Body"/>
      </w:pPr>
      <w:r>
        <w:rPr>
          <w:rFonts w:ascii="Calibri" w:hAnsi="Calibri" w:eastAsia="Microsoft YaHei"/>
        </w:rPr>
        <w:t xml:space="preserve">In the short term, it should support expectations for business travel and local international engagement. In the medium term, it can help deepen people-to-people and commercial ties with Latin America. In the long term, it shows that China's opening strategy will increasingly rely on operational policy tools that directly reduce friction for cross-border movement.</w:t>
      </w:r>
    </w:p>
    <w:p>
      <w:pPr>
        <w:pStyle w:val="Heading1"/>
      </w:pPr>
      <w:r>
        <w:rPr>
          <w:rFonts w:ascii="Calibri" w:hAnsi="Calibri" w:eastAsia="Microsoft YaHei"/>
        </w:rPr>
        <w:t xml:space="preserve">Impact Assessment</w:t>
      </w:r>
    </w:p>
    <w:p>
      <w:pPr>
        <w:pStyle w:val="Body"/>
      </w:pPr>
      <w:r>
        <w:rPr>
          <w:rFonts w:ascii="Calibri" w:hAnsi="Calibri" w:eastAsia="Microsoft YaHei"/>
        </w:rPr>
        <w:t xml:space="preserve">• Governance: Policymakers continue to accept uneven recovery while pushing more targeted structural change.</w:t>
      </w:r>
    </w:p>
    <w:p>
      <w:pPr>
        <w:pStyle w:val="Body"/>
      </w:pPr>
      <w:r>
        <w:rPr>
          <w:rFonts w:ascii="Calibri" w:hAnsi="Calibri" w:eastAsia="Microsoft YaHei"/>
        </w:rPr>
        <w:t xml:space="preserve">• Economic structure: Profitability and policy support are tilting toward advanced manufacturing and system-integration-heavy sectors.</w:t>
      </w:r>
    </w:p>
    <w:p>
      <w:pPr>
        <w:pStyle w:val="Body"/>
      </w:pPr>
      <w:r>
        <w:rPr>
          <w:rFonts w:ascii="Calibri" w:hAnsi="Calibri" w:eastAsia="Microsoft YaHei"/>
        </w:rPr>
        <w:t xml:space="preserve">• Employment and education: Composite engineering talent that can connect AI, industry and systems will likely gain value.</w:t>
      </w:r>
    </w:p>
    <w:p>
      <w:pPr>
        <w:pStyle w:val="Body"/>
      </w:pPr>
      <w:r>
        <w:rPr>
          <w:rFonts w:ascii="Calibri" w:hAnsi="Calibri" w:eastAsia="Microsoft YaHei"/>
        </w:rPr>
        <w:t xml:space="preserve">• Technology industry: Real sector deployment, standards and safety management are becoming central to the AI narrative.</w:t>
      </w:r>
    </w:p>
    <w:p>
      <w:pPr>
        <w:pStyle w:val="Body"/>
      </w:pPr>
      <w:r>
        <w:rPr>
          <w:rFonts w:ascii="Calibri" w:hAnsi="Calibri" w:eastAsia="Microsoft YaHei"/>
        </w:rPr>
        <w:t xml:space="preserve">• Social sentiment: Stable-but-not-exciting macro data support caution rather than exuberance.</w:t>
      </w:r>
    </w:p>
    <w:p>
      <w:pPr>
        <w:pStyle w:val="Body"/>
      </w:pPr>
      <w:r>
        <w:rPr>
          <w:rFonts w:ascii="Calibri" w:hAnsi="Calibri" w:eastAsia="Microsoft YaHei"/>
        </w:rPr>
        <w:t xml:space="preserve">• International relations: Convenience-based opening remains a useful tool for preserving cross-border linkages.</w:t>
      </w:r>
    </w:p>
    <w:p>
      <w:pPr>
        <w:pStyle w:val="Heading1"/>
      </w:pPr>
      <w:r>
        <w:rPr>
          <w:rFonts w:ascii="Calibri" w:hAnsi="Calibri" w:eastAsia="Microsoft YaHei"/>
        </w:rPr>
        <w:t xml:space="preserve">Follow-up Watchlist</w:t>
      </w:r>
    </w:p>
    <w:p>
      <w:pPr>
        <w:pStyle w:val="Body"/>
      </w:pPr>
      <w:r>
        <w:rPr>
          <w:rFonts w:ascii="Calibri" w:hAnsi="Calibri" w:eastAsia="Microsoft YaHei"/>
        </w:rPr>
        <w:t xml:space="preserve">1. Will June high-frequency data confirm that services can keep offsetting weak manufacturing sentiment?</w:t>
      </w:r>
    </w:p>
    <w:p>
      <w:pPr>
        <w:pStyle w:val="Body"/>
      </w:pPr>
      <w:r>
        <w:rPr>
          <w:rFonts w:ascii="Calibri" w:hAnsi="Calibri" w:eastAsia="Microsoft YaHei"/>
        </w:rPr>
        <w:t xml:space="preserve">2. Does the 'AI plus power' policy quickly translate into local pilots, procurement or technical standards?</w:t>
      </w:r>
    </w:p>
    <w:p>
      <w:pPr>
        <w:pStyle w:val="Body"/>
      </w:pPr>
      <w:r>
        <w:rPr>
          <w:rFonts w:ascii="Calibri" w:hAnsi="Calibri" w:eastAsia="Microsoft YaHei"/>
        </w:rPr>
        <w:t xml:space="preserve">3. Can industrial-profit improvement spread beyond stronger strategic sectors into a broader business confidence recovery?</w:t>
      </w:r>
    </w:p>
    <w:p>
      <w:pPr>
        <w:pStyle w:val="Body"/>
      </w:pPr>
      <w:r>
        <w:rPr>
          <w:rFonts w:ascii="Calibri" w:hAnsi="Calibri" w:eastAsia="Microsoft YaHei"/>
        </w:rPr>
        <w:t xml:space="preserve">4. How quickly will the visa-free move show up in business travel, exhibitions and local cooperation signals?</w:t>
      </w:r>
    </w:p>
    <w:p>
      <w:pPr>
        <w:pStyle w:val="Body"/>
      </w:pPr>
      <w:r>
        <w:rPr>
          <w:rFonts w:ascii="Calibri" w:hAnsi="Calibri" w:eastAsia="Microsoft YaHei"/>
        </w:rPr>
        <w:t xml:space="preserve">5. Which technology themes continue to receive elevated policy visibility after Science and Technology Week ends?</w:t>
      </w:r>
    </w:p>
    <w:p>
      <w:pPr>
        <w:pStyle w:val="Body"/>
      </w:pPr>
      <w:r>
        <w:rPr>
          <w:rFonts w:ascii="Calibri" w:hAnsi="Calibri" w:eastAsia="Microsoft YaHei"/>
        </w:rPr>
        <w:t xml:space="preserve">6. Do external-demand or exchange-rate changes reintroduce pressure on manufacturers despite domestic support?</w:t>
      </w:r>
    </w:p>
    <w:p>
      <w:pPr>
        <w:pStyle w:val="Heading1"/>
      </w:pPr>
      <w:r>
        <w:rPr>
          <w:rFonts w:ascii="Calibri" w:hAnsi="Calibri" w:eastAsia="Microsoft YaHei"/>
        </w:rPr>
        <w:t xml:space="preserve">References</w:t>
      </w:r>
    </w:p>
    <w:p>
      <w:pPr>
        <w:pStyle w:val="Body"/>
      </w:pPr>
      <w:r>
        <w:rPr>
          <w:rFonts w:ascii="Calibri" w:hAnsi="Calibri" w:eastAsia="Microsoft YaHei"/>
        </w:rPr>
        <w:t xml:space="preserve">国家统计局，2026-05-31，《2026年5月中国采购经理指数运行情况》。https://www.stats.gov.cn/sj/sjjd/202605/t20260531_1963825.html</w:t>
      </w:r>
    </w:p>
    <w:p>
      <w:pPr>
        <w:pStyle w:val="Body"/>
      </w:pPr>
      <w:r>
        <w:rPr>
          <w:rFonts w:ascii="Calibri" w:hAnsi="Calibri" w:eastAsia="Microsoft YaHei"/>
        </w:rPr>
        <w:t xml:space="preserve">国家统计局，2026-05-27，《2026年1—4月份全国规模以上工业企业利润增长1.4%》。https://www.stats.gov.cn/sj/zxfb/202605/t20260527_1963753.html</w:t>
      </w:r>
    </w:p>
    <w:p>
      <w:pPr>
        <w:pStyle w:val="Body"/>
      </w:pPr>
      <w:r>
        <w:rPr>
          <w:rFonts w:ascii="Calibri" w:hAnsi="Calibri" w:eastAsia="Microsoft YaHei"/>
        </w:rPr>
        <w:t xml:space="preserve">国家能源局，2026-05-29，《关于推进“人工智能+”行动 促进电力系统智能化发展的通知》。https://www.gov.cn/zhengce/zhengceku/202605/content_7026459.htm</w:t>
      </w:r>
    </w:p>
    <w:p>
      <w:pPr>
        <w:pStyle w:val="Body"/>
      </w:pPr>
      <w:r>
        <w:rPr>
          <w:rFonts w:ascii="Calibri" w:hAnsi="Calibri" w:eastAsia="Microsoft YaHei"/>
        </w:rPr>
        <w:t xml:space="preserve">科技部，全国科技活动周专题页面，2026 年活动窗口。https://www.most.gov.cn/</w:t>
      </w:r>
    </w:p>
    <w:p>
      <w:pPr>
        <w:pStyle w:val="Body"/>
      </w:pPr>
      <w:r>
        <w:rPr>
          <w:rFonts w:ascii="Calibri" w:hAnsi="Calibri" w:eastAsia="Microsoft YaHei"/>
        </w:rPr>
        <w:t xml:space="preserve">中国政府网/外交部领事司，2026-05，关于对巴西等五国试行免签政策的公告。Search reference used during drafting.</w:t>
      </w:r>
    </w:p>
    <w:p>
      <w:pPr>
        <w:pStyle w:val="Body"/>
      </w:pPr>
      <w:r>
        <w:rPr>
          <w:rFonts w:ascii="Calibri" w:hAnsi="Calibri" w:eastAsia="Microsoft YaHei"/>
        </w:rPr>
        <w:t xml:space="preserve">Reuters, 2026-05-27 to 2026-05-31. China PMI and policy coverage. Search references used during drafting.</w:t>
      </w:r>
    </w:p>
    <w:sectPr>
      <w:pgSz w:w="12240" w:h="15840"/>
      <w:pgMar w:top="1440" w:right="1440" w:bottom="1440" w:left="1440" w:header="708" w:footer="708" w:gutter="0"/>
      <w:cols w:space="708"/>
      <w:docGrid w:linePitch="360"/>
    </w:sectPr>
  </w:body>
</w:document>
</file>

<file path=word/settings.xml><?xml version="1.0" encoding="utf-8"?>
<w:settings xmlns:w="http://schemas.openxmlformats.org/wordprocessingml/2006/main">
  <w:zoom w:percent="100"/>
  <w:defaultTabStop w:val="420"/>
</w:settings>
</file>

<file path=word/styles.xml><?xml version="1.0" encoding="utf-8"?>
<w:styles xmlns:w="http://schemas.openxmlformats.org/wordprocessingml/2006/main">
  <w:docDefaults>
    <w:rPrDefault>
      <w:rPr>
        <w:rFonts w:ascii="Calibri" w:hAnsi="Calibri" w:eastAsia="Microsoft YaHei"/>
        <w:sz w:val="22"/>
        <w:szCs w:val="22"/>
        <w:lang w:val="zh-CN" w:eastAsia="zh-CN"/>
      </w:rPr>
    </w:rPrDefault>
    <w:pPrDefault>
      <w:pPr>
        <w:spacing w:after="160" w:line="276" w:lineRule="auto"/>
      </w:pPr>
    </w:pPrDefault>
  </w:docDefaults>
  <w:style w:type="paragraph" w:default="1" w:styleId="Normal">
    <w:name w:val="Normal"/>
  </w:style>
  <w:style w:type="paragraph" w:styleId="Title">
    <w:name w:val="Title"/>
    <w:basedOn w:val="Normal"/>
    <w:next w:val="Body"/>
    <w:uiPriority w:val="10"/>
    <w:qFormat/>
    <w:pPr>
      <w:spacing w:before="0" w:after="120" w:line="300" w:lineRule="auto"/>
      <w:jc w:val="center"/>
    </w:pPr>
    <w:rPr>
      <w:rFonts w:ascii="Calibri" w:hAnsi="Calibri" w:eastAsia="Microsoft YaHei"/>
      <w:b/>
      <w:sz w:val="36"/>
      <w:szCs w:val="36"/>
      <w:color w:val="1F1F1F"/>
    </w:rPr>
  </w:style>
  <w:style w:type="paragraph" w:styleId="Subtitle">
    <w:name w:val="Subtitle"/>
    <w:basedOn w:val="Normal"/>
    <w:next w:val="Body"/>
    <w:pPr>
      <w:spacing w:before="0" w:after="180" w:line="276" w:lineRule="auto"/>
      <w:jc w:val="center"/>
    </w:pPr>
    <w:rPr>
      <w:rFonts w:ascii="Calibri" w:hAnsi="Calibri" w:eastAsia="Microsoft YaHei"/>
      <w:sz w:val="22"/>
      <w:szCs w:val="22"/>
      <w:color w:val="555555"/>
    </w:rPr>
  </w:style>
  <w:style w:type="paragraph" w:styleId="Heading1">
    <w:name w:val="heading 1"/>
    <w:basedOn w:val="Normal"/>
    <w:next w:val="Body"/>
    <w:uiPriority w:val="9"/>
    <w:qFormat/>
    <w:pPr>
      <w:spacing w:before="360" w:after="160"/>
    </w:pPr>
    <w:rPr>
      <w:rFonts w:ascii="Calibri" w:hAnsi="Calibri" w:eastAsia="Microsoft YaHei"/>
      <w:b/>
      <w:sz w:val="30"/>
      <w:szCs w:val="30"/>
      <w:color w:val="2E4A62"/>
    </w:rPr>
  </w:style>
  <w:style w:type="paragraph" w:styleId="Heading2">
    <w:name w:val="heading 2"/>
    <w:basedOn w:val="Normal"/>
    <w:next w:val="Body"/>
    <w:uiPriority w:val="9"/>
    <w:qFormat/>
    <w:pPr>
      <w:spacing w:before="260" w:after="120"/>
    </w:pPr>
    <w:rPr>
      <w:rFonts w:ascii="Calibri" w:hAnsi="Calibri" w:eastAsia="Microsoft YaHei"/>
      <w:b/>
      <w:sz w:val="26"/>
      <w:szCs w:val="26"/>
      <w:color w:val="334E68"/>
    </w:rPr>
  </w:style>
  <w:style w:type="paragraph" w:styleId="Body">
    <w:name w:val="Body"/>
    <w:basedOn w:val="Normal"/>
    <w:qFormat/>
    <w:pPr>
      <w:spacing w:after="160" w:line="276" w:lineRule="auto"/>
    </w:pPr>
    <w:rPr>
      <w:rFonts w:ascii="Calibri" w:hAnsi="Calibri" w:eastAsia="Microsoft YaHei"/>
      <w:sz w:val="22"/>
      <w:szCs w:val="22"/>
      <w:color w:val="1F1F1F"/>
    </w:rPr>
  </w:style>
  <w:style w:type="paragraph" w:styleId="Quote">
    <w:name w:val="Quote"/>
    <w:basedOn w:val="Body"/>
    <w:pPr>
      <w:ind w:left="420" w:right="180"/>
      <w:spacing w:after="140" w:line="276" w:lineRule="auto"/>
    </w:pPr>
    <w:rPr>
      <w:color w:val="44444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Codex Automation</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2026-06-01 China News Weekly</dc:title>
  <dc:creator>Codex Automation</dc:creator>
  <cp:lastModifiedBy>Codex Automation</cp:lastModifiedBy>
  <dcterms:created xsi:type="dcterms:W3CDTF">2026-06-01T00:00:00Z</dcterms:created>
  <dcterms:modified xsi:type="dcterms:W3CDTF">2026-06-01T00:00:00Z</dcterms:modified>
</cp:coreProperties>
</file>