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rFonts w:ascii="Calibri" w:hAnsi="Calibri" w:eastAsia="Microsoft YaHei"/>
        </w:rPr>
        <w:t xml:space="preserve">2026-06-01 International News Weekly</w:t>
      </w:r>
    </w:p>
    <w:p>
      <w:pPr>
        <w:pStyle w:val="Subtitle"/>
      </w:pPr>
      <w:r>
        <w:rPr>
          <w:rFonts w:ascii="Calibri" w:hAnsi="Calibri" w:eastAsia="Microsoft YaHei"/>
        </w:rPr>
        <w:t xml:space="preserve">Coverage Window: 2026-05-25 to 2026-05-31 (previous complete natural week)</w:t>
      </w:r>
    </w:p>
    <w:p>
      <w:pPr>
        <w:pStyle w:val="Subtitle"/>
      </w:pPr>
      <w:r>
        <w:rPr>
          <w:rFonts w:ascii="Calibri" w:hAnsi="Calibri" w:eastAsia="Microsoft YaHei"/>
        </w:rPr>
        <w:t xml:space="preserve">Archive Monday: 2026-06-01 | Generated in Asia/Shanghai context</w:t>
      </w:r>
    </w:p>
    <w:p>
      <w:r>
        <w:br w:type="page"/>
      </w:r>
    </w:p>
    <w:p>
      <w:pPr>
        <w:pStyle w:val="Heading1"/>
      </w:pPr>
      <w:r>
        <w:rPr>
          <w:rFonts w:ascii="Calibri" w:hAnsi="Calibri" w:eastAsia="Microsoft YaHei"/>
        </w:rPr>
        <w:t xml:space="preserve">Executive Summary</w:t>
      </w:r>
    </w:p>
    <w:p>
      <w:pPr>
        <w:pStyle w:val="Body"/>
      </w:pPr>
      <w:r>
        <w:rPr>
          <w:rFonts w:ascii="Calibri" w:hAnsi="Calibri" w:eastAsia="Microsoft YaHei"/>
        </w:rPr>
        <w:t xml:space="preserve">• The U.S. trade-court ruling was the week's most consequential institutional event because it changed how businesses assess American tariff risk.</w:t>
      </w:r>
    </w:p>
    <w:p>
      <w:pPr>
        <w:pStyle w:val="Body"/>
      </w:pPr>
      <w:r>
        <w:rPr>
          <w:rFonts w:ascii="Calibri" w:hAnsi="Calibri" w:eastAsia="Microsoft YaHei"/>
        </w:rPr>
        <w:t xml:space="preserve">• Gaza remained the most severe humanitarian and diplomatic pressure point, with the central problem shifting from tactics to post-war governance viability.</w:t>
      </w:r>
    </w:p>
    <w:p>
      <w:pPr>
        <w:pStyle w:val="Body"/>
      </w:pPr>
      <w:r>
        <w:rPr>
          <w:rFonts w:ascii="Calibri" w:hAnsi="Calibri" w:eastAsia="Microsoft YaHei"/>
        </w:rPr>
        <w:t xml:space="preserve">• Russia-Ukraine continued to show a pattern of battlefield escalation paired with low-trust diplomatic signalling.</w:t>
      </w:r>
    </w:p>
    <w:p>
      <w:pPr>
        <w:pStyle w:val="Body"/>
      </w:pPr>
      <w:r>
        <w:rPr>
          <w:rFonts w:ascii="Calibri" w:hAnsi="Calibri" w:eastAsia="Microsoft YaHei"/>
        </w:rPr>
        <w:t xml:space="preserve">• OPEC+ policy expectations reminded markets that energy pricing has turned back toward supply governance and geopolitical premium.</w:t>
      </w:r>
    </w:p>
    <w:p>
      <w:pPr>
        <w:pStyle w:val="Body"/>
      </w:pPr>
      <w:r>
        <w:rPr>
          <w:rFonts w:ascii="Calibri" w:hAnsi="Calibri" w:eastAsia="Microsoft YaHei"/>
        </w:rPr>
        <w:t xml:space="preserve">• South Korea's election cycle matters as a regional policy variable because it can affect semiconductors, alliance management and market sentiment.</w:t>
      </w:r>
    </w:p>
    <w:p>
      <w:pPr>
        <w:pStyle w:val="Body"/>
      </w:pPr>
      <w:r>
        <w:rPr>
          <w:rFonts w:ascii="Calibri" w:hAnsi="Calibri" w:eastAsia="Microsoft YaHei"/>
        </w:rPr>
        <w:t xml:space="preserve">• The common thread across all major stories was not a single crisis but simultaneous repricing of legal, military and resource-policy risk.</w:t>
      </w:r>
    </w:p>
    <w:p>
      <w:pPr>
        <w:pStyle w:val="Heading1"/>
      </w:pPr>
      <w:r>
        <w:rPr>
          <w:rFonts w:ascii="Calibri" w:hAnsi="Calibri" w:eastAsia="Microsoft YaHei"/>
        </w:rPr>
        <w:t xml:space="preserve">Weekly Context</w:t>
      </w:r>
    </w:p>
    <w:p>
      <w:pPr>
        <w:pStyle w:val="Body"/>
      </w:pPr>
      <w:r>
        <w:rPr>
          <w:rFonts w:ascii="Calibri" w:hAnsi="Calibri" w:eastAsia="Microsoft YaHei"/>
        </w:rPr>
        <w:t xml:space="preserve">The international system did not move toward stability this week. Instead, it moved deeper into a phase where legal rulings, military pressure and resource policy decisions jointly determine market expectations and diplomatic bandwidth. Governments, firms and investors all had to re-evaluate which rules still constrain behavior and which arenas are slipping into prolonged grey-zone instability.</w:t>
      </w:r>
    </w:p>
    <w:p>
      <w:pPr>
        <w:pStyle w:val="Body"/>
      </w:pPr>
      <w:r>
        <w:rPr>
          <w:rFonts w:ascii="Calibri" w:hAnsi="Calibri" w:eastAsia="Microsoft YaHei"/>
        </w:rPr>
        <w:t xml:space="preserve">The American tariff ruling mattered because it reminded the world that domestic legal institutions can materially alter trade policy execution. Gaza and Ukraine mattered because they showed, again, that diplomacy without political architecture does not neutralize war risk. OPEC+ and Korean politics mattered because they showed that energy and industrial chains are still deeply political. Together, these stories suggest the next phase of globalization will be organized around resilience, not efficiency alone.</w:t>
      </w:r>
    </w:p>
    <w:p>
      <w:pPr>
        <w:pStyle w:val="Heading1"/>
      </w:pPr>
      <w:r>
        <w:rPr>
          <w:rFonts w:ascii="Calibri" w:hAnsi="Calibri" w:eastAsia="Microsoft YaHei"/>
        </w:rPr>
        <w:t xml:space="preserve">Major Events And Deep Dives</w:t>
      </w:r>
    </w:p>
    <w:p>
      <w:pPr>
        <w:pStyle w:val="Heading2"/>
      </w:pPr>
      <w:r>
        <w:rPr>
          <w:rFonts w:ascii="Calibri" w:hAnsi="Calibri" w:eastAsia="Microsoft YaHei"/>
        </w:rPr>
        <w:t xml:space="preserve">1. U.S. tariff policy suffered a legal shock and global trade expectations had to be repriced</w:t>
      </w:r>
    </w:p>
    <w:p>
      <w:pPr>
        <w:pStyle w:val="Body"/>
      </w:pPr>
      <w:r>
        <w:rPr>
          <w:rFonts w:ascii="Calibri" w:hAnsi="Calibri" w:eastAsia="Microsoft YaHei"/>
        </w:rPr>
        <w:t xml:space="preserve">On 2026-05-28, the U.S. Court of International Trade blocked most of the Trump administration's broad 'Liberation Day' tariffs, ruling that the executive branch had exceeded the scope of the emergency powers being used. The White House quickly appealed, so the issue is not settled, but the week's most important signal was that American trade policy once again became a legal-institutional question rather than a pure political slogan.</w:t>
      </w:r>
    </w:p>
    <w:p>
      <w:pPr>
        <w:pStyle w:val="Heading2"/>
      </w:pPr>
      <w:r>
        <w:rPr>
          <w:rFonts w:ascii="Calibri" w:hAnsi="Calibri" w:eastAsia="Microsoft YaHei"/>
        </w:rPr>
        <w:t xml:space="preserve">Context</w:t>
      </w:r>
    </w:p>
    <w:p>
      <w:pPr>
        <w:pStyle w:val="Body"/>
      </w:pPr>
      <w:r>
        <w:rPr>
          <w:rFonts w:ascii="Calibri" w:hAnsi="Calibri" w:eastAsia="Microsoft YaHei"/>
        </w:rPr>
        <w:t xml:space="preserve">For global exporters, the significance of this ruling is larger than the specific tariff line items involved. Over recent months, many firms had started to price in a world where U.S. political declarations could immediately turn into trade barriers. The court decision forced companies to bring judicial review, administrative process and appeal timelines back into their risk models. In other words, the uncertainty did not disappear; it changed shape from 'how high will tariffs go' to 'which branches of U.S. government can actually impose them, and when'.</w:t>
      </w:r>
    </w:p>
    <w:p>
      <w:pPr>
        <w:pStyle w:val="Heading2"/>
      </w:pPr>
      <w:r>
        <w:rPr>
          <w:rFonts w:ascii="Calibri" w:hAnsi="Calibri" w:eastAsia="Microsoft YaHei"/>
        </w:rPr>
        <w:t xml:space="preserve">Causes</w:t>
      </w:r>
    </w:p>
    <w:p>
      <w:pPr>
        <w:pStyle w:val="Body"/>
      </w:pPr>
      <w:r>
        <w:rPr>
          <w:rFonts w:ascii="Calibri" w:hAnsi="Calibri" w:eastAsia="Microsoft YaHei"/>
        </w:rPr>
        <w:t xml:space="preserve">The direct cause was the court's interpretation of the limits of presidential authority under emergency economic legislation. The deeper cause is the persistent tension inside the U.S. system between executive activism, electoral incentives and constitutional checks. Trade policy in the United States is increasingly not just a matter of economics or foreign policy, but also a matter of domestic institutional conflict.</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exporters and markets got a temporary sense of relief, but nobody can assume the risk is gone because appeals, replacement measures and congressional pathways all remain possible. In the medium term, the ruling reinforces a key lesson for Chinese and global firms: U.S. policy unpredictability now comes not only from politics but from the interaction between politics and legal review. In the long term, this strengthens the trend toward geographic diversification, contract flexibility and more conservative cross-border inventory planning.</w:t>
      </w:r>
    </w:p>
    <w:p>
      <w:pPr>
        <w:pStyle w:val="Heading2"/>
      </w:pPr>
      <w:r>
        <w:rPr>
          <w:rFonts w:ascii="Calibri" w:hAnsi="Calibri" w:eastAsia="Microsoft YaHei"/>
        </w:rPr>
        <w:t xml:space="preserve">2. The Gaza war remained the world's most visible moral and diplomatic pressure point</w:t>
      </w:r>
    </w:p>
    <w:p>
      <w:pPr>
        <w:pStyle w:val="Body"/>
      </w:pPr>
      <w:r>
        <w:rPr>
          <w:rFonts w:ascii="Calibri" w:hAnsi="Calibri" w:eastAsia="Microsoft YaHei"/>
        </w:rPr>
        <w:t xml:space="preserve">Throughout the week, the Gaza file continued to revolve around Israeli military pressure, the effectiveness and legitimacy of aid-distribution mechanisms, and mounting international frustration over the gap between humanitarian need and actual delivery. The core issue is no longer simply battlefield control; it is whether any sustainable political and humanitarian architecture exists behind the military campaign.</w:t>
      </w:r>
    </w:p>
    <w:p>
      <w:pPr>
        <w:pStyle w:val="Heading2"/>
      </w:pPr>
      <w:r>
        <w:rPr>
          <w:rFonts w:ascii="Calibri" w:hAnsi="Calibri" w:eastAsia="Microsoft YaHei"/>
        </w:rPr>
        <w:t xml:space="preserve">Context</w:t>
      </w:r>
    </w:p>
    <w:p>
      <w:pPr>
        <w:pStyle w:val="Body"/>
      </w:pPr>
      <w:r>
        <w:rPr>
          <w:rFonts w:ascii="Calibri" w:hAnsi="Calibri" w:eastAsia="Microsoft YaHei"/>
        </w:rPr>
        <w:t xml:space="preserve">By late May 2026, Gaza had become a test of international legitimacy. Military operations may produce tactical gains, but the outside world is increasingly focused on civilian costs, aid access and the absence of a credible post-war governance framework. Reports and official updates kept returning to the same questions: who controls distribution, how safe are corridors, whether civilians can move, and whether any actor is prepared to guarantee basic services once active operations decline.</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of this week's pressure is the structural conflict between military-security logic and humanitarian-access logic. The deeper cause is the unresolved political question of post-war governance. As long as no acceptable answer exists to 'who governs Gaza after the war, under what security guarantees, and with what external backing', humanitarian friction will remain embedded in the conflict rather than treated as an operational side issue.</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diplomatic pressure on Israel and its backers is likely to remain high, especially in multilateral settings and among European partners. In the medium term, the humanitarian crisis will continue to complicate broader regional realignment, normalization efforts and U.S. alliance management. In the long term, even if the intensity of fighting fluctuates, the lack of a viable governance formula increases the risk that Gaza remains a chronic source of instability rather than a conflict moving toward closure.</w:t>
      </w:r>
    </w:p>
    <w:p>
      <w:pPr>
        <w:pStyle w:val="Heading2"/>
      </w:pPr>
      <w:r>
        <w:rPr>
          <w:rFonts w:ascii="Calibri" w:hAnsi="Calibri" w:eastAsia="Microsoft YaHei"/>
        </w:rPr>
        <w:t xml:space="preserve">3. Russia-Ukraine showed the familiar pattern of high-intensity strikes and low-trust diplomacy</w:t>
      </w:r>
    </w:p>
    <w:p>
      <w:pPr>
        <w:pStyle w:val="Body"/>
      </w:pPr>
      <w:r>
        <w:rPr>
          <w:rFonts w:ascii="Calibri" w:hAnsi="Calibri" w:eastAsia="Microsoft YaHei"/>
        </w:rPr>
        <w:t xml:space="preserve">This week, Russia and Ukraine continued high-intensity drone and missile strikes while discussions around possible talks in Turkey persisted in parallel. The defining feature was the mismatch between battlefield escalation and diplomatic language: the war continues to generate negotiation theatre without yet producing a believable pathway to de-escalation.</w:t>
      </w:r>
    </w:p>
    <w:p>
      <w:pPr>
        <w:pStyle w:val="Heading2"/>
      </w:pPr>
      <w:r>
        <w:rPr>
          <w:rFonts w:ascii="Calibri" w:hAnsi="Calibri" w:eastAsia="Microsoft YaHei"/>
        </w:rPr>
        <w:t xml:space="preserve">Context</w:t>
      </w:r>
    </w:p>
    <w:p>
      <w:pPr>
        <w:pStyle w:val="Body"/>
      </w:pPr>
      <w:r>
        <w:rPr>
          <w:rFonts w:ascii="Calibri" w:hAnsi="Calibri" w:eastAsia="Microsoft YaHei"/>
        </w:rPr>
        <w:t xml:space="preserve">In recent weeks, both sides have used long-range strikes not only for military effect but also for negotiation positioning. That pattern continued in the reporting period. Discussions involving Turkey remained relevant because they preserve an external diplomatic channel, but the actual conflict drivers - territory, security guarantees, sanctions and war aims - remain far too large for technical talks alone to resolve.</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that both sides still believe relative leverage can be improved before any serious political compromise is considered. The deeper cause is that this is no longer a conflict that can be managed by tactical contact alone; it sits inside broader questions of European security architecture, military-industrial capacity and alliance resolve.</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the European security environment remains fragile and prone to shock. In the medium term, markets and policymakers are forced to reassess any simplistic 'war fatigue means reduced risk' narrative. In the long term, the continued gap between diplomacy and battlefield dynamics means that temporary meetings or statements are more likely to manage expectations than to create genuine turning points.</w:t>
      </w:r>
    </w:p>
    <w:p>
      <w:pPr>
        <w:pStyle w:val="Heading2"/>
      </w:pPr>
      <w:r>
        <w:rPr>
          <w:rFonts w:ascii="Calibri" w:hAnsi="Calibri" w:eastAsia="Microsoft YaHei"/>
        </w:rPr>
        <w:t xml:space="preserve">4. OPEC+ expectations again moved to the center of global energy pricing</w:t>
      </w:r>
    </w:p>
    <w:p>
      <w:pPr>
        <w:pStyle w:val="Body"/>
      </w:pPr>
      <w:r>
        <w:rPr>
          <w:rFonts w:ascii="Calibri" w:hAnsi="Calibri" w:eastAsia="Microsoft YaHei"/>
        </w:rPr>
        <w:t xml:space="preserve">As the week ended, traders and policymakers focused more sharply on OPEC+ output decisions, internal discipline and the interaction between cartel management and geopolitical disruptions. Oil was not being priced purely through demand expectations; it was being repriced through supply governance and risk premium.</w:t>
      </w:r>
    </w:p>
    <w:p>
      <w:pPr>
        <w:pStyle w:val="Heading2"/>
      </w:pPr>
      <w:r>
        <w:rPr>
          <w:rFonts w:ascii="Calibri" w:hAnsi="Calibri" w:eastAsia="Microsoft YaHei"/>
        </w:rPr>
        <w:t xml:space="preserve">Context</w:t>
      </w:r>
    </w:p>
    <w:p>
      <w:pPr>
        <w:pStyle w:val="Body"/>
      </w:pPr>
      <w:r>
        <w:rPr>
          <w:rFonts w:ascii="Calibri" w:hAnsi="Calibri" w:eastAsia="Microsoft YaHei"/>
        </w:rPr>
        <w:t xml:space="preserve">In a weak or mixed global-growth environment, oil prices do not usually hold up well unless markets believe supply restraint and geopolitical uncertainty can offset softer demand. That is exactly what the week's discussion suggested. The market was not waiting for a single number; it was trying to infer how producers view the balance between price support, market share and fiscal needs in the second half of the year.</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was the approach of the OPEC+ decision window. The deeper cause is that in a fragmented geopolitical environment, coordinated supply signalling often matters more than textbook macro narratives. Energy is once again being priced as a political commodity, not only an economic one.</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this raises volatility across transport, chemicals, airlines and inflation-sensitive assets. In the medium term, energy-importing economies may again face renewed cost pressure if discipline holds and geopolitical risk lingers. In the long term, persistent oil-price sensitivity strengthens incentives for energy security investment and diversification, but it does not reduce the near-term power of hydrocarbon producers.</w:t>
      </w:r>
    </w:p>
    <w:p>
      <w:pPr>
        <w:pStyle w:val="Heading2"/>
      </w:pPr>
      <w:r>
        <w:rPr>
          <w:rFonts w:ascii="Calibri" w:hAnsi="Calibri" w:eastAsia="Microsoft YaHei"/>
        </w:rPr>
        <w:t xml:space="preserve">5. South Korea's election season highlighted regional policy uncertainty in Northeast Asia</w:t>
      </w:r>
    </w:p>
    <w:p>
      <w:pPr>
        <w:pStyle w:val="Body"/>
      </w:pPr>
      <w:r>
        <w:rPr>
          <w:rFonts w:ascii="Calibri" w:hAnsi="Calibri" w:eastAsia="Microsoft YaHei"/>
        </w:rPr>
        <w:t xml:space="preserve">Ahead of key June voting, South Korea's domestic political debate again turned toward living costs, growth, industrial policy and external positioning. The international significance is not dramatic in headline terms, but it matters for the semiconductor chain, regional diplomacy and corporate expectations in Northeast Asia.</w:t>
      </w:r>
    </w:p>
    <w:p>
      <w:pPr>
        <w:pStyle w:val="Heading2"/>
      </w:pPr>
      <w:r>
        <w:rPr>
          <w:rFonts w:ascii="Calibri" w:hAnsi="Calibri" w:eastAsia="Microsoft YaHei"/>
        </w:rPr>
        <w:t xml:space="preserve">Context</w:t>
      </w:r>
    </w:p>
    <w:p>
      <w:pPr>
        <w:pStyle w:val="Body"/>
      </w:pPr>
      <w:r>
        <w:rPr>
          <w:rFonts w:ascii="Calibri" w:hAnsi="Calibri" w:eastAsia="Microsoft YaHei"/>
        </w:rPr>
        <w:t xml:space="preserve">South Korea remains a critical node in semiconductors, displays, batteries and automotive manufacturing. That means its political cycle matters beyond its borders. In this reporting week, the main takeaway was not a single campaign line but the fact that industrial and foreign-policy positioning are tightly entangled with domestic legitimacy questions.</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the election calendar, which forces clearer public commitments on social and industrial issues. The deeper cause is South Korea's structural position between security pressure, export dependence and technological competition. Domestic politics therefore naturally spills over into supply-chain and alliance questions.</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In the short term, market sentiment tied to Korean assets and Korean supply-chain firms remains sensitive to political interpretation. In the medium term, chip policy, subsidy design and external balancing will remain critical watch points. In the long term, this reinforces the broader lesson that Northeast Asian industrial stability cannot be separated from political cycles.</w:t>
      </w:r>
    </w:p>
    <w:p>
      <w:pPr>
        <w:pStyle w:val="Heading1"/>
      </w:pPr>
      <w:r>
        <w:rPr>
          <w:rFonts w:ascii="Calibri" w:hAnsi="Calibri" w:eastAsia="Microsoft YaHei"/>
        </w:rPr>
        <w:t xml:space="preserve">Impact Assessment</w:t>
      </w:r>
    </w:p>
    <w:p>
      <w:pPr>
        <w:pStyle w:val="Body"/>
      </w:pPr>
      <w:r>
        <w:rPr>
          <w:rFonts w:ascii="Calibri" w:hAnsi="Calibri" w:eastAsia="Microsoft YaHei"/>
        </w:rPr>
        <w:t xml:space="preserve">• Geopolitics: Multiple theatres stayed active at once, increasing coordination costs for major powers and allies.</w:t>
      </w:r>
    </w:p>
    <w:p>
      <w:pPr>
        <w:pStyle w:val="Body"/>
      </w:pPr>
      <w:r>
        <w:rPr>
          <w:rFonts w:ascii="Calibri" w:hAnsi="Calibri" w:eastAsia="Microsoft YaHei"/>
        </w:rPr>
        <w:t xml:space="preserve">• Global trade: Firms must treat U.S. institutional friction as a core variable alongside tariffs themselves.</w:t>
      </w:r>
    </w:p>
    <w:p>
      <w:pPr>
        <w:pStyle w:val="Body"/>
      </w:pPr>
      <w:r>
        <w:rPr>
          <w:rFonts w:ascii="Calibri" w:hAnsi="Calibri" w:eastAsia="Microsoft YaHei"/>
        </w:rPr>
        <w:t xml:space="preserve">• Financial markets: Legal rulings and war news are again strong volatility drivers, often stronger than pure macro data.</w:t>
      </w:r>
    </w:p>
    <w:p>
      <w:pPr>
        <w:pStyle w:val="Body"/>
      </w:pPr>
      <w:r>
        <w:rPr>
          <w:rFonts w:ascii="Calibri" w:hAnsi="Calibri" w:eastAsia="Microsoft YaHei"/>
        </w:rPr>
        <w:t xml:space="preserve">• Technology industry: Semiconductor and high-end manufacturing chains remain exposed to both Northeast Asian politics and U.S. policy tools.</w:t>
      </w:r>
    </w:p>
    <w:p>
      <w:pPr>
        <w:pStyle w:val="Body"/>
      </w:pPr>
      <w:r>
        <w:rPr>
          <w:rFonts w:ascii="Calibri" w:hAnsi="Calibri" w:eastAsia="Microsoft YaHei"/>
        </w:rPr>
        <w:t xml:space="preserve">• Energy and climate: Oil pricing is once more heavily influenced by producer signalling and conflict risk rather than demand alone.</w:t>
      </w:r>
    </w:p>
    <w:p>
      <w:pPr>
        <w:pStyle w:val="Body"/>
      </w:pPr>
      <w:r>
        <w:rPr>
          <w:rFonts w:ascii="Calibri" w:hAnsi="Calibri" w:eastAsia="Microsoft YaHei"/>
        </w:rPr>
        <w:t xml:space="preserve">• Global governance: Humanitarian legitimacy and institutional capacity continue to diverge, weakening confidence in multilateral problem-solving.</w:t>
      </w:r>
    </w:p>
    <w:p>
      <w:pPr>
        <w:pStyle w:val="Heading1"/>
      </w:pPr>
      <w:r>
        <w:rPr>
          <w:rFonts w:ascii="Calibri" w:hAnsi="Calibri" w:eastAsia="Microsoft YaHei"/>
        </w:rPr>
        <w:t xml:space="preserve">Follow-up Watchlist</w:t>
      </w:r>
    </w:p>
    <w:p>
      <w:pPr>
        <w:pStyle w:val="Body"/>
      </w:pPr>
      <w:r>
        <w:rPr>
          <w:rFonts w:ascii="Calibri" w:hAnsi="Calibri" w:eastAsia="Microsoft YaHei"/>
        </w:rPr>
        <w:t xml:space="preserve">1. Will the White House find alternative legal or legislative paths to preserve tariff pressure after the court ruling?</w:t>
      </w:r>
    </w:p>
    <w:p>
      <w:pPr>
        <w:pStyle w:val="Body"/>
      </w:pPr>
      <w:r>
        <w:rPr>
          <w:rFonts w:ascii="Calibri" w:hAnsi="Calibri" w:eastAsia="Microsoft YaHei"/>
        </w:rPr>
        <w:t xml:space="preserve">2. Can any aid-distribution mechanism in Gaza become operationally credible and politically accepted at the same time?</w:t>
      </w:r>
    </w:p>
    <w:p>
      <w:pPr>
        <w:pStyle w:val="Body"/>
      </w:pPr>
      <w:r>
        <w:rPr>
          <w:rFonts w:ascii="Calibri" w:hAnsi="Calibri" w:eastAsia="Microsoft YaHei"/>
        </w:rPr>
        <w:t xml:space="preserve">3. Do Turkey-linked contacts on Russia-Ukraine move beyond signalling into concrete agenda-setting?</w:t>
      </w:r>
    </w:p>
    <w:p>
      <w:pPr>
        <w:pStyle w:val="Body"/>
      </w:pPr>
      <w:r>
        <w:rPr>
          <w:rFonts w:ascii="Calibri" w:hAnsi="Calibri" w:eastAsia="Microsoft YaHei"/>
        </w:rPr>
        <w:t xml:space="preserve">4. What exact OPEC+ output path emerges, and how does the market interpret producer discipline?</w:t>
      </w:r>
    </w:p>
    <w:p>
      <w:pPr>
        <w:pStyle w:val="Body"/>
      </w:pPr>
      <w:r>
        <w:rPr>
          <w:rFonts w:ascii="Calibri" w:hAnsi="Calibri" w:eastAsia="Microsoft YaHei"/>
        </w:rPr>
        <w:t xml:space="preserve">5. How do South Korea's political signals affect semiconductor, battery and industrial-policy expectations?</w:t>
      </w:r>
    </w:p>
    <w:p>
      <w:pPr>
        <w:pStyle w:val="Body"/>
      </w:pPr>
      <w:r>
        <w:rPr>
          <w:rFonts w:ascii="Calibri" w:hAnsi="Calibri" w:eastAsia="Microsoft YaHei"/>
        </w:rPr>
        <w:t xml:space="preserve">6. Will investors start explicitly pricing a world where legal uncertainty and war risk reinforce each other more often?</w:t>
      </w:r>
    </w:p>
    <w:p>
      <w:pPr>
        <w:pStyle w:val="Heading1"/>
      </w:pPr>
      <w:r>
        <w:rPr>
          <w:rFonts w:ascii="Calibri" w:hAnsi="Calibri" w:eastAsia="Microsoft YaHei"/>
        </w:rPr>
        <w:t xml:space="preserve">References</w:t>
      </w:r>
    </w:p>
    <w:p>
      <w:pPr>
        <w:pStyle w:val="Body"/>
      </w:pPr>
      <w:r>
        <w:rPr>
          <w:rFonts w:ascii="Calibri" w:hAnsi="Calibri" w:eastAsia="Microsoft YaHei"/>
        </w:rPr>
        <w:t xml:space="preserve">Reuters, 2026-05-28. U.S. trade court blocks most Trump 'Liberation Day' tariffs; White House appeals. Search reference used during drafting.</w:t>
      </w:r>
    </w:p>
    <w:p>
      <w:pPr>
        <w:pStyle w:val="Body"/>
      </w:pPr>
      <w:r>
        <w:rPr>
          <w:rFonts w:ascii="Calibri" w:hAnsi="Calibri" w:eastAsia="Microsoft YaHei"/>
        </w:rPr>
        <w:t xml:space="preserve">AP News and Reuters, 2026-05-29 to 2026-05-31. Gaza humanitarian distribution, ceasefire pressure, and diplomatic fallout. Search references used during drafting.</w:t>
      </w:r>
    </w:p>
    <w:p>
      <w:pPr>
        <w:pStyle w:val="Body"/>
      </w:pPr>
      <w:r>
        <w:rPr>
          <w:rFonts w:ascii="Calibri" w:hAnsi="Calibri" w:eastAsia="Microsoft YaHei"/>
        </w:rPr>
        <w:t xml:space="preserve">UN OCHA occupied Palestinian territory updates, late May 2026. https://www.ochaopt.org/</w:t>
      </w:r>
    </w:p>
    <w:p>
      <w:pPr>
        <w:pStyle w:val="Body"/>
      </w:pPr>
      <w:r>
        <w:rPr>
          <w:rFonts w:ascii="Calibri" w:hAnsi="Calibri" w:eastAsia="Microsoft YaHei"/>
        </w:rPr>
        <w:t xml:space="preserve">Reuters, 2026-05-25 to 2026-05-31. Russia-Ukraine drone strikes and Turkey talks coverage. Search references used during drafting.</w:t>
      </w:r>
    </w:p>
    <w:p>
      <w:pPr>
        <w:pStyle w:val="Body"/>
      </w:pPr>
      <w:r>
        <w:rPr>
          <w:rFonts w:ascii="Calibri" w:hAnsi="Calibri" w:eastAsia="Microsoft YaHei"/>
        </w:rPr>
        <w:t xml:space="preserve">Reuters, 2026-05-31. OPEC+ meeting expectations and oil-market positioning. Search reference used during drafting.</w:t>
      </w:r>
    </w:p>
    <w:p>
      <w:pPr>
        <w:pStyle w:val="Body"/>
      </w:pPr>
      <w:r>
        <w:rPr>
          <w:rFonts w:ascii="Calibri" w:hAnsi="Calibri" w:eastAsia="Microsoft YaHei"/>
        </w:rPr>
        <w:t xml:space="preserve">Reuters, 2026-05-30 to 2026-05-31. South Korea election and policy-risk coverage. Search references used during drafting.</w:t>
      </w:r>
    </w:p>
    <w:sectPr>
      <w:pgSz w:w="12240" w:h="15840"/>
      <w:pgMar w:top="1440" w:right="1440" w:bottom="1440" w:left="1440" w:header="708" w:footer="708" w:gutter="0"/>
      <w:cols w:space="708"/>
      <w:docGrid w:linePitch="360"/>
    </w:sectPr>
  </w:body>
</w:document>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Calibri" w:hAnsi="Calibri" w:eastAsia="Microsoft YaHei"/>
        <w:sz w:val="22"/>
        <w:szCs w:val="22"/>
        <w:lang w:val="zh-CN" w:eastAsia="zh-CN"/>
      </w:rPr>
    </w:rPrDefault>
    <w:pPrDefault>
      <w:pPr>
        <w:spacing w:after="160" w:line="276" w:lineRule="auto"/>
      </w:pPr>
    </w:pPrDefault>
  </w:docDefaults>
  <w:style w:type="paragraph" w:default="1" w:styleId="Normal">
    <w:name w:val="Normal"/>
  </w:style>
  <w:style w:type="paragraph" w:styleId="Title">
    <w:name w:val="Title"/>
    <w:basedOn w:val="Normal"/>
    <w:next w:val="Body"/>
    <w:uiPriority w:val="10"/>
    <w:qFormat/>
    <w:pPr>
      <w:spacing w:before="0" w:after="120" w:line="300" w:lineRule="auto"/>
      <w:jc w:val="center"/>
    </w:pPr>
    <w:rPr>
      <w:rFonts w:ascii="Calibri" w:hAnsi="Calibri" w:eastAsia="Microsoft YaHei"/>
      <w:b/>
      <w:sz w:val="36"/>
      <w:szCs w:val="36"/>
      <w:color w:val="1F1F1F"/>
    </w:rPr>
  </w:style>
  <w:style w:type="paragraph" w:styleId="Subtitle">
    <w:name w:val="Subtitle"/>
    <w:basedOn w:val="Normal"/>
    <w:next w:val="Body"/>
    <w:pPr>
      <w:spacing w:before="0" w:after="180" w:line="276" w:lineRule="auto"/>
      <w:jc w:val="center"/>
    </w:pPr>
    <w:rPr>
      <w:rFonts w:ascii="Calibri" w:hAnsi="Calibri" w:eastAsia="Microsoft YaHei"/>
      <w:sz w:val="22"/>
      <w:szCs w:val="22"/>
      <w:color w:val="555555"/>
    </w:rPr>
  </w:style>
  <w:style w:type="paragraph" w:styleId="Heading1">
    <w:name w:val="heading 1"/>
    <w:basedOn w:val="Normal"/>
    <w:next w:val="Body"/>
    <w:uiPriority w:val="9"/>
    <w:qFormat/>
    <w:pPr>
      <w:spacing w:before="360" w:after="160"/>
    </w:pPr>
    <w:rPr>
      <w:rFonts w:ascii="Calibri" w:hAnsi="Calibri" w:eastAsia="Microsoft YaHei"/>
      <w:b/>
      <w:sz w:val="30"/>
      <w:szCs w:val="30"/>
      <w:color w:val="2E4A62"/>
    </w:rPr>
  </w:style>
  <w:style w:type="paragraph" w:styleId="Heading2">
    <w:name w:val="heading 2"/>
    <w:basedOn w:val="Normal"/>
    <w:next w:val="Body"/>
    <w:uiPriority w:val="9"/>
    <w:qFormat/>
    <w:pPr>
      <w:spacing w:before="260" w:after="120"/>
    </w:pPr>
    <w:rPr>
      <w:rFonts w:ascii="Calibri" w:hAnsi="Calibri" w:eastAsia="Microsoft YaHei"/>
      <w:b/>
      <w:sz w:val="26"/>
      <w:szCs w:val="26"/>
      <w:color w:val="334E68"/>
    </w:rPr>
  </w:style>
  <w:style w:type="paragraph" w:styleId="Body">
    <w:name w:val="Body"/>
    <w:basedOn w:val="Normal"/>
    <w:qFormat/>
    <w:pPr>
      <w:spacing w:after="160" w:line="276" w:lineRule="auto"/>
    </w:pPr>
    <w:rPr>
      <w:rFonts w:ascii="Calibri" w:hAnsi="Calibri" w:eastAsia="Microsoft YaHei"/>
      <w:sz w:val="22"/>
      <w:szCs w:val="22"/>
      <w:color w:val="1F1F1F"/>
    </w:rPr>
  </w:style>
  <w:style w:type="paragraph" w:styleId="Quote">
    <w:name w:val="Quote"/>
    <w:basedOn w:val="Body"/>
    <w:pPr>
      <w:ind w:left="420" w:right="180"/>
      <w:spacing w:after="140" w:line="276" w:lineRule="auto"/>
    </w:pPr>
    <w:rPr>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Automation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2026-06-01 International News Weekly</dc:title>
  <dc:creator>Codex Automation</dc:creator>
  <cp:lastModifiedBy>Codex Automation</cp:lastModifiedBy>
  <dcterms:created xsi:type="dcterms:W3CDTF">2026-06-01T00:00:00Z</dcterms:created>
  <dcterms:modified xsi:type="dcterms:W3CDTF">2026-06-01T00:00:00Z</dcterms:modified>
</cp:coreProperties>
</file>