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Title"/>
      </w:pPr>
      <w:r>
        <w:rPr>
          <w:rFonts w:ascii="Calibri" w:hAnsi="Calibri" w:eastAsia="Microsoft YaHei"/>
        </w:rPr>
        <w:t xml:space="preserve">2026-06-01 Personal Development Trends Weekly</w:t>
      </w:r>
    </w:p>
    <w:p>
      <w:pPr>
        <w:pStyle w:val="Subtitle"/>
      </w:pPr>
      <w:r>
        <w:rPr>
          <w:rFonts w:ascii="Calibri" w:hAnsi="Calibri" w:eastAsia="Microsoft YaHei"/>
        </w:rPr>
        <w:t xml:space="preserve">Coverage Window: 2026-05-25 to 2026-05-31 (previous complete natural week)</w:t>
      </w:r>
    </w:p>
    <w:p>
      <w:pPr>
        <w:pStyle w:val="Subtitle"/>
      </w:pPr>
      <w:r>
        <w:rPr>
          <w:rFonts w:ascii="Calibri" w:hAnsi="Calibri" w:eastAsia="Microsoft YaHei"/>
        </w:rPr>
        <w:t xml:space="preserve">Archive Monday: 2026-06-01 | Generated in Asia/Shanghai context</w:t>
      </w:r>
    </w:p>
    <w:p>
      <w:r>
        <w:br w:type="page"/>
      </w:r>
    </w:p>
    <w:p>
      <w:pPr>
        <w:pStyle w:val="Heading1"/>
      </w:pPr>
      <w:r>
        <w:rPr>
          <w:rFonts w:ascii="Calibri" w:hAnsi="Calibri" w:eastAsia="Microsoft YaHei"/>
        </w:rPr>
        <w:t xml:space="preserve">Executive Summary</w:t>
      </w:r>
    </w:p>
    <w:p>
      <w:pPr>
        <w:pStyle w:val="Body"/>
      </w:pPr>
      <w:r>
        <w:rPr>
          <w:rFonts w:ascii="Calibri" w:hAnsi="Calibri" w:eastAsia="Microsoft YaHei"/>
        </w:rPr>
        <w:t xml:space="preserve">• Platform-level agent productization is moving closer to your desired 'workflow agent' engineering route.</w:t>
      </w:r>
    </w:p>
    <w:p>
      <w:pPr>
        <w:pStyle w:val="Body"/>
      </w:pPr>
      <w:r>
        <w:rPr>
          <w:rFonts w:ascii="Calibri" w:hAnsi="Calibri" w:eastAsia="Microsoft YaHei"/>
        </w:rPr>
        <w:t xml:space="preserve">• Fast model turnover makes your system-method thesis strategy more defensible, not less.</w:t>
      </w:r>
    </w:p>
    <w:p>
      <w:pPr>
        <w:pStyle w:val="Body"/>
      </w:pPr>
      <w:r>
        <w:rPr>
          <w:rFonts w:ascii="Calibri" w:hAnsi="Calibri" w:eastAsia="Microsoft YaHei"/>
        </w:rPr>
        <w:t xml:space="preserve">• Enterprise AI financing remains strong enough to treat agent engineering as a serious career direction rather than a passing hype cycle.</w:t>
      </w:r>
    </w:p>
    <w:p>
      <w:pPr>
        <w:pStyle w:val="Body"/>
      </w:pPr>
      <w:r>
        <w:rPr>
          <w:rFonts w:ascii="Calibri" w:hAnsi="Calibri" w:eastAsia="Microsoft YaHei"/>
        </w:rPr>
        <w:t xml:space="preserve">• Robotics and sim-to-real discussion still supports video-stream understanding as a strategic bridge capability.</w:t>
      </w:r>
    </w:p>
    <w:p>
      <w:pPr>
        <w:pStyle w:val="Body"/>
      </w:pPr>
      <w:r>
        <w:rPr>
          <w:rFonts w:ascii="Calibri" w:hAnsi="Calibri" w:eastAsia="Microsoft YaHei"/>
        </w:rPr>
        <w:t xml:space="preserve">• Chinese industry-AI policy gives your route a practical domestic scenario map rather than leaving it at a purely abstract future vision.</w:t>
      </w:r>
    </w:p>
    <w:p>
      <w:pPr>
        <w:pStyle w:val="Body"/>
      </w:pPr>
      <w:r>
        <w:rPr>
          <w:rFonts w:ascii="Calibri" w:hAnsi="Calibri" w:eastAsia="Microsoft YaHei"/>
        </w:rPr>
        <w:t xml:space="preserve">• The most important June action remains unchanged: build the first minimal evidence-based prototype instead of consuming more broad trend content.</w:t>
      </w:r>
    </w:p>
    <w:p>
      <w:pPr>
        <w:pStyle w:val="Heading1"/>
      </w:pPr>
      <w:r>
        <w:rPr>
          <w:rFonts w:ascii="Calibri" w:hAnsi="Calibri" w:eastAsia="Microsoft YaHei"/>
        </w:rPr>
        <w:t xml:space="preserve">Weekly Context</w:t>
      </w:r>
    </w:p>
    <w:p>
      <w:pPr>
        <w:pStyle w:val="Body"/>
      </w:pPr>
      <w:r>
        <w:rPr>
          <w:rFonts w:ascii="Calibri" w:hAnsi="Calibri" w:eastAsia="Microsoft YaHei"/>
        </w:rPr>
        <w:t xml:space="preserve">Reading your planning files together, the most important thing is not to chase every frontier topic at once. Your advantage comes from combining systems thinking, C++ and video context with a gradually deepening AI/agent capability. That means the right weekly trend report should filter external information through one question: does this make the video-stream plus agent path more realistic, more valuable or more clearly expressible?</w:t>
      </w:r>
    </w:p>
    <w:p>
      <w:pPr>
        <w:pStyle w:val="Body"/>
      </w:pPr>
      <w:r>
        <w:rPr>
          <w:rFonts w:ascii="Calibri" w:hAnsi="Calibri" w:eastAsia="Microsoft YaHei"/>
        </w:rPr>
        <w:t xml:space="preserve">This week, the answer was yes on several fronts. Product signals from OpenAI and capital signals from Anthropic both point toward more serious agent software. Robotics coverage continues to show why temporal perception and evidence management matter. China policy signals show that AI value is increasingly being measured in industry workflows. All of that strengthens, rather than weakens, your current positioning.</w:t>
      </w:r>
    </w:p>
    <w:p>
      <w:pPr>
        <w:pStyle w:val="Heading1"/>
      </w:pPr>
      <w:r>
        <w:rPr>
          <w:rFonts w:ascii="Calibri" w:hAnsi="Calibri" w:eastAsia="Microsoft YaHei"/>
        </w:rPr>
        <w:t xml:space="preserve">Major Events And Deep Dives</w:t>
      </w:r>
    </w:p>
    <w:p>
      <w:pPr>
        <w:pStyle w:val="Heading2"/>
      </w:pPr>
      <w:r>
        <w:rPr>
          <w:rFonts w:ascii="Calibri" w:hAnsi="Calibri" w:eastAsia="Microsoft YaHei"/>
        </w:rPr>
        <w:t xml:space="preserve">1. Agent capabilities continued to become productized rather than remaining conceptual</w:t>
      </w:r>
    </w:p>
    <w:p>
      <w:pPr>
        <w:pStyle w:val="Body"/>
      </w:pPr>
      <w:r>
        <w:rPr>
          <w:rFonts w:ascii="Calibri" w:hAnsi="Calibri" w:eastAsia="Microsoft YaHei"/>
        </w:rPr>
        <w:t xml:space="preserve">The 2026-05-29 OpenAI release-notes signal around Codex on Windows and computer-use related capabilities is important not because of one specific product name, but because it shows a broader shift: mainstream platforms are steadily moving from 'chat enhancement' toward 'task execution in real software environments'.</w:t>
      </w:r>
    </w:p>
    <w:p>
      <w:pPr>
        <w:pStyle w:val="Heading2"/>
      </w:pPr>
      <w:r>
        <w:rPr>
          <w:rFonts w:ascii="Calibri" w:hAnsi="Calibri" w:eastAsia="Microsoft YaHei"/>
        </w:rPr>
        <w:t xml:space="preserve">Context</w:t>
      </w:r>
    </w:p>
    <w:p>
      <w:pPr>
        <w:pStyle w:val="Body"/>
      </w:pPr>
      <w:r>
        <w:rPr>
          <w:rFonts w:ascii="Calibri" w:hAnsi="Calibri" w:eastAsia="Microsoft YaHei"/>
        </w:rPr>
        <w:t xml:space="preserve">Your current planning files make it clear that you should not compete as a generic application developer or a pure model researcher. The stronger route is to become an engineer who can connect tools, workflows, state and evidence. Productized agent capabilities validate that route because they show the market increasingly values execution systems rather than only conversation quality.</w:t>
      </w:r>
    </w:p>
    <w:p>
      <w:pPr>
        <w:pStyle w:val="Heading2"/>
      </w:pPr>
      <w:r>
        <w:rPr>
          <w:rFonts w:ascii="Calibri" w:hAnsi="Calibri" w:eastAsia="Microsoft YaHei"/>
        </w:rPr>
        <w:t xml:space="preserve">Causes</w:t>
      </w:r>
    </w:p>
    <w:p>
      <w:pPr>
        <w:pStyle w:val="Body"/>
      </w:pPr>
      <w:r>
        <w:rPr>
          <w:rFonts w:ascii="Calibri" w:hAnsi="Calibri" w:eastAsia="Microsoft YaHei"/>
        </w:rPr>
        <w:t xml:space="preserve">The immediate reason is user demand for higher-value outputs. The deeper reason is that the AI market has moved into a phase where tool calling, environment interaction, error recovery and human-in-the-loop design are becoming default expectations rather than experimental extras.</w:t>
      </w:r>
    </w:p>
    <w:p>
      <w:pPr>
        <w:pStyle w:val="Heading2"/>
      </w:pPr>
      <w:r>
        <w:rPr>
          <w:rFonts w:ascii="Calibri" w:hAnsi="Calibri" w:eastAsia="Microsoft YaHei"/>
        </w:rPr>
        <w:t xml:space="preserve">Consequences</w:t>
      </w:r>
    </w:p>
    <w:p>
      <w:pPr>
        <w:pStyle w:val="Body"/>
      </w:pPr>
      <w:r>
        <w:rPr>
          <w:rFonts w:ascii="Calibri" w:hAnsi="Calibri" w:eastAsia="Microsoft YaHei"/>
        </w:rPr>
        <w:t xml:space="preserve">For your learning plan, this means tool-interface design, structured outputs, logs, verification and failure handling deserve more attention than prompt polish. For your future portfolio, it means a small but real agent workflow with evidence return will likely signal more value than a broad but shallow demo.</w:t>
      </w:r>
    </w:p>
    <w:p>
      <w:pPr>
        <w:pStyle w:val="Heading2"/>
      </w:pPr>
      <w:r>
        <w:rPr>
          <w:rFonts w:ascii="Calibri" w:hAnsi="Calibri" w:eastAsia="Microsoft YaHei"/>
        </w:rPr>
        <w:t xml:space="preserve">2. Fast model-lifecycle change makes system design more valuable than attachment to one model</w:t>
      </w:r>
    </w:p>
    <w:p>
      <w:pPr>
        <w:pStyle w:val="Body"/>
      </w:pPr>
      <w:r>
        <w:rPr>
          <w:rFonts w:ascii="Calibri" w:hAnsi="Calibri" w:eastAsia="Microsoft YaHei"/>
        </w:rPr>
        <w:t xml:space="preserve">OpenAI's model availability and lifecycle updates around 2026-05-28 reinforced a practical lesson: models will keep changing quickly. The engineering moat is therefore shifting toward migration ability, benchmarking, orchestration and cost-aware architecture.</w:t>
      </w:r>
    </w:p>
    <w:p>
      <w:pPr>
        <w:pStyle w:val="Heading2"/>
      </w:pPr>
      <w:r>
        <w:rPr>
          <w:rFonts w:ascii="Calibri" w:hAnsi="Calibri" w:eastAsia="Microsoft YaHei"/>
        </w:rPr>
        <w:t xml:space="preserve">Context</w:t>
      </w:r>
    </w:p>
    <w:p>
      <w:pPr>
        <w:pStyle w:val="Body"/>
      </w:pPr>
      <w:r>
        <w:rPr>
          <w:rFonts w:ascii="Calibri" w:hAnsi="Calibri" w:eastAsia="Microsoft YaHei"/>
        </w:rPr>
        <w:t xml:space="preserve">This aligns almost perfectly with your thesis strategy. In your planning notes, the strongest recommendation is system-method innovation rather than training a new foundation model. Fast model turnover strengthens that recommendation because it lowers the long-term value of obsessing over one specific base model and raises the value of robust system scaffolding.</w:t>
      </w:r>
    </w:p>
    <w:p>
      <w:pPr>
        <w:pStyle w:val="Heading2"/>
      </w:pPr>
      <w:r>
        <w:rPr>
          <w:rFonts w:ascii="Calibri" w:hAnsi="Calibri" w:eastAsia="Microsoft YaHei"/>
        </w:rPr>
        <w:t xml:space="preserve">Causes</w:t>
      </w:r>
    </w:p>
    <w:p>
      <w:pPr>
        <w:pStyle w:val="Body"/>
      </w:pPr>
      <w:r>
        <w:rPr>
          <w:rFonts w:ascii="Calibri" w:hAnsi="Calibri" w:eastAsia="Microsoft YaHei"/>
        </w:rPr>
        <w:t xml:space="preserve">The immediate cause is intense model-market competition. The deeper cause is that AI software is maturing into systems engineering, where behavior management across models matters more than one-time API wiring.</w:t>
      </w:r>
    </w:p>
    <w:p>
      <w:pPr>
        <w:pStyle w:val="Heading2"/>
      </w:pPr>
      <w:r>
        <w:rPr>
          <w:rFonts w:ascii="Calibri" w:hAnsi="Calibri" w:eastAsia="Microsoft YaHei"/>
        </w:rPr>
        <w:t xml:space="preserve">Consequences</w:t>
      </w:r>
    </w:p>
    <w:p>
      <w:pPr>
        <w:pStyle w:val="Body"/>
      </w:pPr>
      <w:r>
        <w:rPr>
          <w:rFonts w:ascii="Calibri" w:hAnsi="Calibri" w:eastAsia="Microsoft YaHei"/>
        </w:rPr>
        <w:t xml:space="preserve">For Topic A, this is good news: if your contribution is event indexing, evidence localization and explainable retrieval workflow, the project remains valid even when underlying models change. For June execution, it means you should prioritize baseline evaluation and data structure first, not endless experimentation with model branding.</w:t>
      </w:r>
    </w:p>
    <w:p>
      <w:pPr>
        <w:pStyle w:val="Heading2"/>
      </w:pPr>
      <w:r>
        <w:rPr>
          <w:rFonts w:ascii="Calibri" w:hAnsi="Calibri" w:eastAsia="Microsoft YaHei"/>
        </w:rPr>
        <w:t xml:space="preserve">3. Anthropic financing confirmed continued capital confidence in enterprise agent software</w:t>
      </w:r>
    </w:p>
    <w:p>
      <w:pPr>
        <w:pStyle w:val="Body"/>
      </w:pPr>
      <w:r>
        <w:rPr>
          <w:rFonts w:ascii="Calibri" w:hAnsi="Calibri" w:eastAsia="Microsoft YaHei"/>
        </w:rPr>
        <w:t xml:space="preserve">Anthropic's late-May financing announcement matters less as a financial headline than as a directional signal. It suggests investors still believe enterprise-grade AI agents and workflow tools have meaningful long-horizon room to grow.</w:t>
      </w:r>
    </w:p>
    <w:p>
      <w:pPr>
        <w:pStyle w:val="Heading2"/>
      </w:pPr>
      <w:r>
        <w:rPr>
          <w:rFonts w:ascii="Calibri" w:hAnsi="Calibri" w:eastAsia="Microsoft YaHei"/>
        </w:rPr>
        <w:t xml:space="preserve">Context</w:t>
      </w:r>
    </w:p>
    <w:p>
      <w:pPr>
        <w:pStyle w:val="Body"/>
      </w:pPr>
      <w:r>
        <w:rPr>
          <w:rFonts w:ascii="Calibri" w:hAnsi="Calibri" w:eastAsia="Microsoft YaHei"/>
        </w:rPr>
        <w:t xml:space="preserve">This is useful for your career framing because it indicates that agent engineering is not a fleeting consumer novelty. The commercial focus is shifting toward systems that can be audited, integrated and trusted inside real organizations. That is exactly the environment where someone with C++, systems taste and video/industrial context can differentiate.</w:t>
      </w:r>
    </w:p>
    <w:p>
      <w:pPr>
        <w:pStyle w:val="Heading2"/>
      </w:pPr>
      <w:r>
        <w:rPr>
          <w:rFonts w:ascii="Calibri" w:hAnsi="Calibri" w:eastAsia="Microsoft YaHei"/>
        </w:rPr>
        <w:t xml:space="preserve">Causes</w:t>
      </w:r>
    </w:p>
    <w:p>
      <w:pPr>
        <w:pStyle w:val="Body"/>
      </w:pPr>
      <w:r>
        <w:rPr>
          <w:rFonts w:ascii="Calibri" w:hAnsi="Calibri" w:eastAsia="Microsoft YaHei"/>
        </w:rPr>
        <w:t xml:space="preserve">The immediate cause is investor belief that high-reliability enterprise AI remains underbuilt. The deeper cause is that organizations are more willing to pay for systems that automate real work than for purely decorative AI interfaces.</w:t>
      </w:r>
    </w:p>
    <w:p>
      <w:pPr>
        <w:pStyle w:val="Heading2"/>
      </w:pPr>
      <w:r>
        <w:rPr>
          <w:rFonts w:ascii="Calibri" w:hAnsi="Calibri" w:eastAsia="Microsoft YaHei"/>
        </w:rPr>
        <w:t xml:space="preserve">Consequences</w:t>
      </w:r>
    </w:p>
    <w:p>
      <w:pPr>
        <w:pStyle w:val="Body"/>
      </w:pPr>
      <w:r>
        <w:rPr>
          <w:rFonts w:ascii="Calibri" w:hAnsi="Calibri" w:eastAsia="Microsoft YaHei"/>
        </w:rPr>
        <w:t xml:space="preserve">For your path, this is a positive signal to keep treating agent engineering plus industry context as a serious medium-term career identity. It also means your projects should emphasize reliability and utility, not just novelty.</w:t>
      </w:r>
    </w:p>
    <w:p>
      <w:pPr>
        <w:pStyle w:val="Heading2"/>
      </w:pPr>
      <w:r>
        <w:rPr>
          <w:rFonts w:ascii="Calibri" w:hAnsi="Calibri" w:eastAsia="Microsoft YaHei"/>
        </w:rPr>
        <w:t xml:space="preserve">4. Robotics and sim-to-real narratives kept the video-stream route strategically relevant</w:t>
      </w:r>
    </w:p>
    <w:p>
      <w:pPr>
        <w:pStyle w:val="Body"/>
      </w:pPr>
      <w:r>
        <w:rPr>
          <w:rFonts w:ascii="Calibri" w:hAnsi="Calibri" w:eastAsia="Microsoft YaHei"/>
        </w:rPr>
        <w:t xml:space="preserve">NVIDIA's ICRA-period robotics coverage continued to stress the bridge from simulation to deployment in the real world. Even if you do not directly pursue robot control right now, this matters because robotics still depends on continuous perception, temporal evidence and system-level coordination - all areas your planned video-stream work can support.</w:t>
      </w:r>
    </w:p>
    <w:p>
      <w:pPr>
        <w:pStyle w:val="Heading2"/>
      </w:pPr>
      <w:r>
        <w:rPr>
          <w:rFonts w:ascii="Calibri" w:hAnsi="Calibri" w:eastAsia="Microsoft YaHei"/>
        </w:rPr>
        <w:t xml:space="preserve">Context</w:t>
      </w:r>
    </w:p>
    <w:p>
      <w:pPr>
        <w:pStyle w:val="Body"/>
      </w:pPr>
      <w:r>
        <w:rPr>
          <w:rFonts w:ascii="Calibri" w:hAnsi="Calibri" w:eastAsia="Microsoft YaHei"/>
        </w:rPr>
        <w:t xml:space="preserve">Your planning files show strong interest in robotics, 3D vision and future-facing technical directions, but also a realistic concern about not diving too early into the deepest stacks. Video streams are the correct bridge layer because they let you build capability that remains useful for robotics, XR and industrial intelligence without requiring immediate control-stack specialization.</w:t>
      </w:r>
    </w:p>
    <w:p>
      <w:pPr>
        <w:pStyle w:val="Heading2"/>
      </w:pPr>
      <w:r>
        <w:rPr>
          <w:rFonts w:ascii="Calibri" w:hAnsi="Calibri" w:eastAsia="Microsoft YaHei"/>
        </w:rPr>
        <w:t xml:space="preserve">Causes</w:t>
      </w:r>
    </w:p>
    <w:p>
      <w:pPr>
        <w:pStyle w:val="Body"/>
      </w:pPr>
      <w:r>
        <w:rPr>
          <w:rFonts w:ascii="Calibri" w:hAnsi="Calibri" w:eastAsia="Microsoft YaHei"/>
        </w:rPr>
        <w:t xml:space="preserve">The immediate reason is that embodied AI needs better perception, memory and coordination layers. The deeper reason is that real-world AI problems are rarely solved by one model alone; they require pipelines, tools and evidence management.</w:t>
      </w:r>
    </w:p>
    <w:p>
      <w:pPr>
        <w:pStyle w:val="Heading2"/>
      </w:pPr>
      <w:r>
        <w:rPr>
          <w:rFonts w:ascii="Calibri" w:hAnsi="Calibri" w:eastAsia="Microsoft YaHei"/>
        </w:rPr>
        <w:t xml:space="preserve">Consequences</w:t>
      </w:r>
    </w:p>
    <w:p>
      <w:pPr>
        <w:pStyle w:val="Body"/>
      </w:pPr>
      <w:r>
        <w:rPr>
          <w:rFonts w:ascii="Calibri" w:hAnsi="Calibri" w:eastAsia="Microsoft YaHei"/>
        </w:rPr>
        <w:t xml:space="preserve">This validates your choice to build event indexing, retrieval and explainable question answering rather than forcing a premature jump into harder physical-control problems. It also means your long-video system can later be narrated as an upstream capability for embodied or spatial intelligence scenarios.</w:t>
      </w:r>
    </w:p>
    <w:p>
      <w:pPr>
        <w:pStyle w:val="Heading2"/>
      </w:pPr>
      <w:r>
        <w:rPr>
          <w:rFonts w:ascii="Calibri" w:hAnsi="Calibri" w:eastAsia="Microsoft YaHei"/>
        </w:rPr>
        <w:t xml:space="preserve">5. Industry AI policy in China highlighted the exact kind of applied route you should be building toward</w:t>
      </w:r>
    </w:p>
    <w:p>
      <w:pPr>
        <w:pStyle w:val="Body"/>
      </w:pPr>
      <w:r>
        <w:rPr>
          <w:rFonts w:ascii="Calibri" w:hAnsi="Calibri" w:eastAsia="Microsoft YaHei"/>
        </w:rPr>
        <w:t xml:space="preserve">The 2026-05-29 'AI plus power' notice is also a personal-development signal. It demonstrates that the market and policy environment increasingly reward engineers who can place AI inside operational systems with clear evidence, safety and ROI, rather than people who only make general-purpose chat wrappers.</w:t>
      </w:r>
    </w:p>
    <w:p>
      <w:pPr>
        <w:pStyle w:val="Heading2"/>
      </w:pPr>
      <w:r>
        <w:rPr>
          <w:rFonts w:ascii="Calibri" w:hAnsi="Calibri" w:eastAsia="Microsoft YaHei"/>
        </w:rPr>
        <w:t xml:space="preserve">Context</w:t>
      </w:r>
    </w:p>
    <w:p>
      <w:pPr>
        <w:pStyle w:val="Body"/>
      </w:pPr>
      <w:r>
        <w:rPr>
          <w:rFonts w:ascii="Calibri" w:hAnsi="Calibri" w:eastAsia="Microsoft YaHei"/>
        </w:rPr>
        <w:t xml:space="preserve">This is the strongest overlap between your local planning and the external week. Your files repeatedly say you should become an AI-enabled systems engineer who connects real video systems, industrial scenarios and applied computer vision. An industry policy like this is proof that such roles are not theoretical.</w:t>
      </w:r>
    </w:p>
    <w:p>
      <w:pPr>
        <w:pStyle w:val="Heading2"/>
      </w:pPr>
      <w:r>
        <w:rPr>
          <w:rFonts w:ascii="Calibri" w:hAnsi="Calibri" w:eastAsia="Microsoft YaHei"/>
        </w:rPr>
        <w:t xml:space="preserve">Causes</w:t>
      </w:r>
    </w:p>
    <w:p>
      <w:pPr>
        <w:pStyle w:val="Body"/>
      </w:pPr>
      <w:r>
        <w:rPr>
          <w:rFonts w:ascii="Calibri" w:hAnsi="Calibri" w:eastAsia="Microsoft YaHei"/>
        </w:rPr>
        <w:t xml:space="preserve">The immediate cause is sector demand for measurable AI value. The deeper cause is that general AI capability must eventually be translated into process improvement, reliability and decision support inside real workflows.</w:t>
      </w:r>
    </w:p>
    <w:p>
      <w:pPr>
        <w:pStyle w:val="Heading2"/>
      </w:pPr>
      <w:r>
        <w:rPr>
          <w:rFonts w:ascii="Calibri" w:hAnsi="Calibri" w:eastAsia="Microsoft YaHei"/>
        </w:rPr>
        <w:t xml:space="preserve">Consequences</w:t>
      </w:r>
    </w:p>
    <w:p>
      <w:pPr>
        <w:pStyle w:val="Body"/>
      </w:pPr>
      <w:r>
        <w:rPr>
          <w:rFonts w:ascii="Calibri" w:hAnsi="Calibri" w:eastAsia="Microsoft YaHei"/>
        </w:rPr>
        <w:t xml:space="preserve">For your thesis, this gives you more confidence to present the agent layer as the orchestration and explainability layer of a usable vision system. For your career path, it suggests you should frame portfolio work around industry workflows: video/log input, event extraction, retrieval, diagnosis and evidence-based reporting.</w:t>
      </w:r>
    </w:p>
    <w:p>
      <w:pPr>
        <w:pStyle w:val="Heading1"/>
      </w:pPr>
      <w:r>
        <w:rPr>
          <w:rFonts w:ascii="Calibri" w:hAnsi="Calibri" w:eastAsia="Microsoft YaHei"/>
        </w:rPr>
        <w:t xml:space="preserve">Impact Assessment</w:t>
      </w:r>
    </w:p>
    <w:p>
      <w:pPr>
        <w:pStyle w:val="Body"/>
      </w:pPr>
      <w:r>
        <w:rPr>
          <w:rFonts w:ascii="Calibri" w:hAnsi="Calibri" w:eastAsia="Microsoft YaHei"/>
        </w:rPr>
        <w:t xml:space="preserve">• Learning: finish the smallest working loop before expanding reading scope any further.</w:t>
      </w:r>
    </w:p>
    <w:p>
      <w:pPr>
        <w:pStyle w:val="Body"/>
      </w:pPr>
      <w:r>
        <w:rPr>
          <w:rFonts w:ascii="Calibri" w:hAnsi="Calibri" w:eastAsia="Microsoft YaHei"/>
        </w:rPr>
        <w:t xml:space="preserve">• Thesis: keep Topic A as the main line, with Topic D as an engineering enhancement or backup narrative.</w:t>
      </w:r>
    </w:p>
    <w:p>
      <w:pPr>
        <w:pStyle w:val="Body"/>
      </w:pPr>
      <w:r>
        <w:rPr>
          <w:rFonts w:ascii="Calibri" w:hAnsi="Calibri" w:eastAsia="Microsoft YaHei"/>
        </w:rPr>
        <w:t xml:space="preserve">• Portfolio: emphasize evidence-return, timestamps, keyframes and system structure rather than UI polish.</w:t>
      </w:r>
    </w:p>
    <w:p>
      <w:pPr>
        <w:pStyle w:val="Body"/>
      </w:pPr>
      <w:r>
        <w:rPr>
          <w:rFonts w:ascii="Calibri" w:hAnsi="Calibri" w:eastAsia="Microsoft YaHei"/>
        </w:rPr>
        <w:t xml:space="preserve">• Career identity: continue building toward an AI-enabled video/industry systems engineer profile.</w:t>
      </w:r>
    </w:p>
    <w:p>
      <w:pPr>
        <w:pStyle w:val="Body"/>
      </w:pPr>
      <w:r>
        <w:rPr>
          <w:rFonts w:ascii="Calibri" w:hAnsi="Calibri" w:eastAsia="Microsoft YaHei"/>
        </w:rPr>
        <w:t xml:space="preserve">• Research fit: stay connected to robotics and embodied AI conceptually through perception and memory layers.</w:t>
      </w:r>
    </w:p>
    <w:p>
      <w:pPr>
        <w:pStyle w:val="Body"/>
      </w:pPr>
      <w:r>
        <w:rPr>
          <w:rFonts w:ascii="Calibri" w:hAnsi="Calibri" w:eastAsia="Microsoft YaHei"/>
        </w:rPr>
        <w:t xml:space="preserve">• Risk control: avoid turning June into endless information intake without runnable artifacts.</w:t>
      </w:r>
    </w:p>
    <w:p>
      <w:pPr>
        <w:pStyle w:val="Heading1"/>
      </w:pPr>
      <w:r>
        <w:rPr>
          <w:rFonts w:ascii="Calibri" w:hAnsi="Calibri" w:eastAsia="Microsoft YaHei"/>
        </w:rPr>
        <w:t xml:space="preserve">Follow-up Watchlist</w:t>
      </w:r>
    </w:p>
    <w:p>
      <w:pPr>
        <w:pStyle w:val="Body"/>
      </w:pPr>
      <w:r>
        <w:rPr>
          <w:rFonts w:ascii="Calibri" w:hAnsi="Calibri" w:eastAsia="Microsoft YaHei"/>
        </w:rPr>
        <w:t xml:space="preserve">1. Finish one minimal chain this week: video input, frame extraction, 10-30 event records, keyword retrieval and timestamped answer output.</w:t>
      </w:r>
    </w:p>
    <w:p>
      <w:pPr>
        <w:pStyle w:val="Body"/>
      </w:pPr>
      <w:r>
        <w:rPr>
          <w:rFonts w:ascii="Calibri" w:hAnsi="Calibri" w:eastAsia="Microsoft YaHei"/>
        </w:rPr>
        <w:t xml:space="preserve">2. Lock down an event schema v0 and stop changing field definitions casually after that.</w:t>
      </w:r>
    </w:p>
    <w:p>
      <w:pPr>
        <w:pStyle w:val="Body"/>
      </w:pPr>
      <w:r>
        <w:rPr>
          <w:rFonts w:ascii="Calibri" w:hAnsi="Calibri" w:eastAsia="Microsoft YaHei"/>
        </w:rPr>
        <w:t xml:space="preserve">3. Read and summarize two papers only if they directly improve your prototype design or evaluation thinking.</w:t>
      </w:r>
    </w:p>
    <w:p>
      <w:pPr>
        <w:pStyle w:val="Body"/>
      </w:pPr>
      <w:r>
        <w:rPr>
          <w:rFonts w:ascii="Calibri" w:hAnsi="Calibri" w:eastAsia="Microsoft YaHei"/>
        </w:rPr>
        <w:t xml:space="preserve">4. Return evidence with every answer, even if the first version uses simple frame paths and manual descriptions.</w:t>
      </w:r>
    </w:p>
    <w:p>
      <w:pPr>
        <w:pStyle w:val="Body"/>
      </w:pPr>
      <w:r>
        <w:rPr>
          <w:rFonts w:ascii="Calibri" w:hAnsi="Calibri" w:eastAsia="Microsoft YaHei"/>
        </w:rPr>
        <w:t xml:space="preserve">5. Translate one current work pain point into a possible Topic D style video-plus-log diagnosis mini-case.</w:t>
      </w:r>
    </w:p>
    <w:p>
      <w:pPr>
        <w:pStyle w:val="Body"/>
      </w:pPr>
      <w:r>
        <w:rPr>
          <w:rFonts w:ascii="Calibri" w:hAnsi="Calibri" w:eastAsia="Microsoft YaHei"/>
        </w:rPr>
        <w:t xml:space="preserve">6. Start shaping a clean repository structure for the prototype so it can become a real portfolio asset.</w:t>
      </w:r>
    </w:p>
    <w:p>
      <w:pPr>
        <w:pStyle w:val="Heading1"/>
      </w:pPr>
      <w:r>
        <w:rPr>
          <w:rFonts w:ascii="Calibri" w:hAnsi="Calibri" w:eastAsia="Microsoft YaHei"/>
        </w:rPr>
        <w:t xml:space="preserve">References</w:t>
      </w:r>
    </w:p>
    <w:p>
      <w:pPr>
        <w:pStyle w:val="Body"/>
      </w:pPr>
      <w:r>
        <w:rPr>
          <w:rFonts w:ascii="Calibri" w:hAnsi="Calibri" w:eastAsia="Microsoft YaHei"/>
        </w:rPr>
        <w:t xml:space="preserve">personal-planning/agent.md</w:t>
      </w:r>
    </w:p>
    <w:p>
      <w:pPr>
        <w:pStyle w:val="Body"/>
      </w:pPr>
      <w:r>
        <w:rPr>
          <w:rFonts w:ascii="Calibri" w:hAnsi="Calibri" w:eastAsia="Microsoft YaHei"/>
        </w:rPr>
        <w:t xml:space="preserve">personal-planning/current-positioning.md</w:t>
      </w:r>
    </w:p>
    <w:p>
      <w:pPr>
        <w:pStyle w:val="Body"/>
      </w:pPr>
      <w:r>
        <w:rPr>
          <w:rFonts w:ascii="Calibri" w:hAnsi="Calibri" w:eastAsia="Microsoft YaHei"/>
        </w:rPr>
        <w:t xml:space="preserve">personal-planning/learning-status-2026-06.md</w:t>
      </w:r>
    </w:p>
    <w:p>
      <w:pPr>
        <w:pStyle w:val="Body"/>
      </w:pPr>
      <w:r>
        <w:rPr>
          <w:rFonts w:ascii="Calibri" w:hAnsi="Calibri" w:eastAsia="Microsoft YaHei"/>
        </w:rPr>
        <w:t xml:space="preserve">OpenAI Help Center, 2026-05-29, ChatGPT release notes mentioning Codex on Windows and related computer-use updates. https://help.openai.com/en/articles/6825453-chatgpt-release-notes</w:t>
      </w:r>
    </w:p>
    <w:p>
      <w:pPr>
        <w:pStyle w:val="Body"/>
      </w:pPr>
      <w:r>
        <w:rPr>
          <w:rFonts w:ascii="Calibri" w:hAnsi="Calibri" w:eastAsia="Microsoft YaHei"/>
        </w:rPr>
        <w:t xml:space="preserve">OpenAI platform/help updates, 2026-05-28, model availability and lifecycle adjustments. Search references used during drafting.</w:t>
      </w:r>
    </w:p>
    <w:p>
      <w:pPr>
        <w:pStyle w:val="Body"/>
      </w:pPr>
      <w:r>
        <w:rPr>
          <w:rFonts w:ascii="Calibri" w:hAnsi="Calibri" w:eastAsia="Microsoft YaHei"/>
        </w:rPr>
        <w:t xml:space="preserve">Anthropic News, 2026-05-28, financing announcement. https://www.anthropic.com/news</w:t>
      </w:r>
    </w:p>
    <w:p>
      <w:pPr>
        <w:pStyle w:val="Body"/>
      </w:pPr>
      <w:r>
        <w:rPr>
          <w:rFonts w:ascii="Calibri" w:hAnsi="Calibri" w:eastAsia="Microsoft YaHei"/>
        </w:rPr>
        <w:t xml:space="preserve">NVIDIA Blog, ICRA 2026 robotics and sim-to-real coverage. https://blogs.nvidia.com/blog/icra-research-robotics-simulation-to-real-world/</w:t>
      </w:r>
    </w:p>
    <w:p>
      <w:pPr>
        <w:pStyle w:val="Body"/>
      </w:pPr>
      <w:r>
        <w:rPr>
          <w:rFonts w:ascii="Calibri" w:hAnsi="Calibri" w:eastAsia="Microsoft YaHei"/>
        </w:rPr>
        <w:t xml:space="preserve">国家能源局，2026-05-29，《关于推进“人工智能+”行动 促进电力系统智能化发展的通知》。https://www.gov.cn/zhengce/zhengceku/202605/content_7026459.htm</w:t>
      </w:r>
    </w:p>
    <w:sectPr>
      <w:pgSz w:w="12240" w:h="15840"/>
      <w:pgMar w:top="1440" w:right="1440" w:bottom="1440" w:left="1440" w:header="708" w:footer="708" w:gutter="0"/>
      <w:cols w:space="708"/>
      <w:docGrid w:linePitch="360"/>
    </w:sectPr>
  </w:body>
</w:document>
</file>

<file path=word/settings.xml><?xml version="1.0" encoding="utf-8"?>
<w:settings xmlns:w="http://schemas.openxmlformats.org/wordprocessingml/2006/main">
  <w:zoom w:percent="100"/>
  <w:defaultTabStop w:val="420"/>
</w:settings>
</file>

<file path=word/styles.xml><?xml version="1.0" encoding="utf-8"?>
<w:styles xmlns:w="http://schemas.openxmlformats.org/wordprocessingml/2006/main">
  <w:docDefaults>
    <w:rPrDefault>
      <w:rPr>
        <w:rFonts w:ascii="Calibri" w:hAnsi="Calibri" w:eastAsia="Microsoft YaHei"/>
        <w:sz w:val="22"/>
        <w:szCs w:val="22"/>
        <w:lang w:val="zh-CN" w:eastAsia="zh-CN"/>
      </w:rPr>
    </w:rPrDefault>
    <w:pPrDefault>
      <w:pPr>
        <w:spacing w:after="160" w:line="276" w:lineRule="auto"/>
      </w:pPr>
    </w:pPrDefault>
  </w:docDefaults>
  <w:style w:type="paragraph" w:default="1" w:styleId="Normal">
    <w:name w:val="Normal"/>
  </w:style>
  <w:style w:type="paragraph" w:styleId="Title">
    <w:name w:val="Title"/>
    <w:basedOn w:val="Normal"/>
    <w:next w:val="Body"/>
    <w:uiPriority w:val="10"/>
    <w:qFormat/>
    <w:pPr>
      <w:spacing w:before="0" w:after="120" w:line="300" w:lineRule="auto"/>
      <w:jc w:val="center"/>
    </w:pPr>
    <w:rPr>
      <w:rFonts w:ascii="Calibri" w:hAnsi="Calibri" w:eastAsia="Microsoft YaHei"/>
      <w:b/>
      <w:sz w:val="36"/>
      <w:szCs w:val="36"/>
      <w:color w:val="1F1F1F"/>
    </w:rPr>
  </w:style>
  <w:style w:type="paragraph" w:styleId="Subtitle">
    <w:name w:val="Subtitle"/>
    <w:basedOn w:val="Normal"/>
    <w:next w:val="Body"/>
    <w:pPr>
      <w:spacing w:before="0" w:after="180" w:line="276" w:lineRule="auto"/>
      <w:jc w:val="center"/>
    </w:pPr>
    <w:rPr>
      <w:rFonts w:ascii="Calibri" w:hAnsi="Calibri" w:eastAsia="Microsoft YaHei"/>
      <w:sz w:val="22"/>
      <w:szCs w:val="22"/>
      <w:color w:val="555555"/>
    </w:rPr>
  </w:style>
  <w:style w:type="paragraph" w:styleId="Heading1">
    <w:name w:val="heading 1"/>
    <w:basedOn w:val="Normal"/>
    <w:next w:val="Body"/>
    <w:uiPriority w:val="9"/>
    <w:qFormat/>
    <w:pPr>
      <w:spacing w:before="360" w:after="160"/>
    </w:pPr>
    <w:rPr>
      <w:rFonts w:ascii="Calibri" w:hAnsi="Calibri" w:eastAsia="Microsoft YaHei"/>
      <w:b/>
      <w:sz w:val="30"/>
      <w:szCs w:val="30"/>
      <w:color w:val="2E4A62"/>
    </w:rPr>
  </w:style>
  <w:style w:type="paragraph" w:styleId="Heading2">
    <w:name w:val="heading 2"/>
    <w:basedOn w:val="Normal"/>
    <w:next w:val="Body"/>
    <w:uiPriority w:val="9"/>
    <w:qFormat/>
    <w:pPr>
      <w:spacing w:before="260" w:after="120"/>
    </w:pPr>
    <w:rPr>
      <w:rFonts w:ascii="Calibri" w:hAnsi="Calibri" w:eastAsia="Microsoft YaHei"/>
      <w:b/>
      <w:sz w:val="26"/>
      <w:szCs w:val="26"/>
      <w:color w:val="334E68"/>
    </w:rPr>
  </w:style>
  <w:style w:type="paragraph" w:styleId="Body">
    <w:name w:val="Body"/>
    <w:basedOn w:val="Normal"/>
    <w:qFormat/>
    <w:pPr>
      <w:spacing w:after="160" w:line="276" w:lineRule="auto"/>
    </w:pPr>
    <w:rPr>
      <w:rFonts w:ascii="Calibri" w:hAnsi="Calibri" w:eastAsia="Microsoft YaHei"/>
      <w:sz w:val="22"/>
      <w:szCs w:val="22"/>
      <w:color w:val="1F1F1F"/>
    </w:rPr>
  </w:style>
  <w:style w:type="paragraph" w:styleId="Quote">
    <w:name w:val="Quote"/>
    <w:basedOn w:val="Body"/>
    <w:pPr>
      <w:ind w:left="420" w:right="180"/>
      <w:spacing w:after="140" w:line="276" w:lineRule="auto"/>
    </w:pPr>
    <w:rPr>
      <w:color w:val="44444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Application>Codex Automation</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2026-06-01 Personal Development Trends Weekly</dc:title>
  <dc:creator>Codex Automation</dc:creator>
  <cp:lastModifiedBy>Codex Automation</cp:lastModifiedBy>
  <dcterms:created xsi:type="dcterms:W3CDTF">2026-06-01T00:00:00Z</dcterms:created>
  <dcterms:modified xsi:type="dcterms:W3CDTF">2026-06-01T00:00:00Z</dcterms:modified>
</cp:coreProperties>
</file>