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eastAsia="Microsoft YaHei" w:cs="Calibri"/>
          <w:b/>
          <w:color w:val="2E74B5"/>
          <w:sz w:val="19"/>
        </w:rPr>
        <w:t>PAPER TECHNICAL REPORT</w:t>
      </w:r>
    </w:p>
    <w:p>
      <w:pPr>
        <w:spacing w:before="0" w:after="100"/>
      </w:pPr>
      <w:r>
        <w:rPr>
          <w:rFonts w:ascii="Calibri" w:hAnsi="Calibri" w:eastAsia="Microsoft YaHei" w:cs="Calibri"/>
          <w:b/>
          <w:color w:val="000000"/>
          <w:sz w:val="46"/>
        </w:rPr>
        <w:t>增强语言模型：从推理到工具调用的系统框架</w:t>
      </w:r>
    </w:p>
    <w:p>
      <w:pPr>
        <w:spacing w:before="0" w:after="280"/>
      </w:pPr>
      <w:r>
        <w:rPr>
          <w:rFonts w:ascii="Calibri" w:hAnsi="Calibri" w:eastAsia="Microsoft YaHei" w:cs="Calibri"/>
          <w:color w:val="5B6573"/>
          <w:sz w:val="26"/>
        </w:rPr>
        <w:t>《Augmented Language Models: a Survey》深度技术报告</w:t>
      </w:r>
    </w:p>
    <w:p>
      <w:pPr>
        <w:spacing w:before="0" w:after="40" w:line="252" w:lineRule="auto"/>
      </w:pPr>
      <w:r>
        <w:rPr>
          <w:rFonts w:ascii="Calibri" w:hAnsi="Calibri" w:eastAsia="Microsoft YaHei" w:cs="Calibri"/>
          <w:b/>
          <w:color w:val="1F4D78"/>
          <w:sz w:val="20"/>
        </w:rPr>
        <w:t>论文：</w:t>
      </w:r>
      <w:r>
        <w:rPr>
          <w:rFonts w:ascii="Calibri" w:hAnsi="Calibri" w:eastAsia="Microsoft YaHei" w:cs="Calibri"/>
          <w:color w:val="1F2937"/>
          <w:sz w:val="20"/>
        </w:rPr>
        <w:t>Augmented Language Models: a Survey</w:t>
      </w:r>
    </w:p>
    <w:p>
      <w:pPr>
        <w:spacing w:before="0" w:after="40" w:line="252" w:lineRule="auto"/>
      </w:pPr>
      <w:r>
        <w:rPr>
          <w:rFonts w:ascii="Calibri" w:hAnsi="Calibri" w:eastAsia="Microsoft YaHei" w:cs="Calibri"/>
          <w:b/>
          <w:color w:val="1F4D78"/>
          <w:sz w:val="20"/>
        </w:rPr>
        <w:t>作者：</w:t>
      </w:r>
      <w:r>
        <w:rPr>
          <w:rFonts w:ascii="Calibri" w:hAnsi="Calibri" w:eastAsia="Microsoft YaHei" w:cs="Calibri"/>
          <w:color w:val="1F2937"/>
          <w:sz w:val="20"/>
        </w:rPr>
        <w:t>Grégoire Mialon, Roberto Dessì, Maria Lomeli, Christoforos Nalmpantis, Ram Pasunuru, Roberta Raileanu, Baptiste Rozière, Timo Schick, Jane Dwivedi-Yu, Asli Celikyilmaz, Edouard Grave, Yann LeCun, Thomas Scialom</w:t>
      </w:r>
    </w:p>
    <w:p>
      <w:pPr>
        <w:spacing w:before="0" w:after="40" w:line="252" w:lineRule="auto"/>
      </w:pPr>
      <w:r>
        <w:rPr>
          <w:rFonts w:ascii="Calibri" w:hAnsi="Calibri" w:eastAsia="Microsoft YaHei" w:cs="Calibri"/>
          <w:b/>
          <w:color w:val="1F4D78"/>
          <w:sz w:val="20"/>
        </w:rPr>
        <w:t>机构：</w:t>
      </w:r>
      <w:r>
        <w:rPr>
          <w:rFonts w:ascii="Calibri" w:hAnsi="Calibri" w:eastAsia="Microsoft YaHei" w:cs="Calibri"/>
          <w:color w:val="1F2937"/>
          <w:sz w:val="20"/>
        </w:rPr>
        <w:t>Meta AI；Universitat Pompeu Fabra</w:t>
      </w:r>
    </w:p>
    <w:p>
      <w:pPr>
        <w:spacing w:before="0" w:after="40" w:line="252" w:lineRule="auto"/>
      </w:pPr>
      <w:r>
        <w:rPr>
          <w:rFonts w:ascii="Calibri" w:hAnsi="Calibri" w:eastAsia="Microsoft YaHei" w:cs="Calibri"/>
          <w:b/>
          <w:color w:val="1F4D78"/>
          <w:sz w:val="20"/>
        </w:rPr>
        <w:t>版本：</w:t>
      </w:r>
      <w:r>
        <w:rPr>
          <w:rFonts w:ascii="Calibri" w:hAnsi="Calibri" w:eastAsia="Microsoft YaHei" w:cs="Calibri"/>
          <w:color w:val="1F2937"/>
          <w:sz w:val="20"/>
        </w:rPr>
        <w:t>arXiv:2302.07842v1 [cs.CL]，2023-02-15；源文件未标注同行评审会议或期刊</w:t>
      </w:r>
    </w:p>
    <w:p>
      <w:pPr>
        <w:spacing w:before="0" w:after="40" w:line="252" w:lineRule="auto"/>
      </w:pPr>
      <w:r>
        <w:rPr>
          <w:rFonts w:ascii="Calibri" w:hAnsi="Calibri" w:eastAsia="Microsoft YaHei" w:cs="Calibri"/>
          <w:b/>
          <w:color w:val="1F4D78"/>
          <w:sz w:val="20"/>
        </w:rPr>
        <w:t>论文类型：</w:t>
      </w:r>
      <w:r>
        <w:rPr>
          <w:rFonts w:ascii="Calibri" w:hAnsi="Calibri" w:eastAsia="Microsoft YaHei" w:cs="Calibri"/>
          <w:color w:val="1F2937"/>
          <w:sz w:val="20"/>
        </w:rPr>
        <w:t>综述（Survey），覆盖推理增强、工具使用与行动、学习机制三条研究轴</w:t>
      </w:r>
    </w:p>
    <w:p>
      <w:pPr>
        <w:spacing w:before="80" w:after="200"/>
        <w:pBdr>
          <w:bottom w:val="single" w:sz="12" w:space="4" w:color="2E74B5"/>
        </w:pBdr>
      </w:pPr>
    </w:p>
    <w:p>
      <w:pPr>
        <w:pStyle w:val="Heading1"/>
        <w:keepNext/>
      </w:pPr>
      <w:r>
        <w:t>1. 研究背景与行业痛点</w:t>
      </w:r>
    </w:p>
    <w:p>
      <w:pPr>
        <w:keepNext w:val="0"/>
        <w:shd w:fill="E8EEF5"/>
        <w:spacing w:before="80" w:after="180"/>
        <w:ind w:left="173" w:right="173"/>
      </w:pPr>
      <w:r>
        <w:rPr>
          <w:rFonts w:ascii="Calibri" w:hAnsi="Calibri" w:eastAsia="Microsoft YaHei" w:cs="Calibri"/>
        </w:rPr>
        <w:t>论文关注的核心矛盾是：大语言模型虽然通过参数规模和海量语料获得了强大的语言理解与生成能力，但仍被幻觉、算术和多步推理错误、知识时效性差、上下文窗口有限，以及训练和持续维护成本高等问题限制。作者把这些问题追溯到传统语言建模的两个基本约束：知识主要被压入单一参数模型，模型每次预测只能依赖有限的当前上下文。</w:t>
      </w:r>
    </w:p>
    <w:p>
      <w:pPr>
        <w:keepNext w:val="0"/>
      </w:pPr>
      <w:r>
        <w:rPr>
          <w:rFonts w:ascii="Calibri" w:hAnsi="Calibri" w:eastAsia="Microsoft YaHei" w:cs="Calibri"/>
        </w:rPr>
        <w:t>现有做法的局限不只在“模型不够大”。扩大参数量可以提升记忆和部分涌现能力，却使训练、更新和维护更昂贵；单纯延长上下文也不能保证输入信息真正相关。另一方面，语言模型即使能把任务分解成多个步骤，也可能在某个算术、事实或执行环节犯错，并让错误沿推理链传播。论文因此把“生成更多中间文本”与“获得可信外部结果”视为两类互补能力。</w:t>
      </w:r>
    </w:p>
    <w:p>
      <w:pPr>
        <w:keepNext w:val="0"/>
      </w:pPr>
      <w:r>
        <w:rPr>
          <w:rFonts w:ascii="Calibri" w:hAnsi="Calibri" w:eastAsia="Microsoft YaHei" w:cs="Calibri"/>
        </w:rPr>
        <w:t>作者提出增强语言模型（Augmented Language Models, ALM）这一统称：模型仍以缺失或下一词元预测为基本目标，但通过推理过程改善上下文，或调用检索器、搜索引擎、计算器、代码解释器、其他神经网络乃至机器人接口，把外部信息或行动结果重新写入上下文。与传统语言模型相比，ALM 的能力不再完全由权重中的参数化记忆决定。</w:t>
      </w:r>
    </w:p>
    <w:p>
      <w:pPr>
        <w:keepNext w:val="0"/>
      </w:pPr>
      <w:r>
        <w:rPr>
          <w:rFonts w:ascii="Calibri" w:hAnsi="Calibri" w:eastAsia="Microsoft YaHei" w:cs="Calibri"/>
        </w:rPr>
        <w:t>这篇论文的研究动因不是发布一个新模型，而是给快速分化的研究建立共同语言和分类框架。作者希望回答三个问题：模型可以被哪些推理或工具能力增强；这些能力如何与上下文和外部环境交互；模型应通过启发式提示、监督学习、强化学习还是自监督方式学会调用这些能力。</w:t>
      </w:r>
    </w:p>
    <w:p>
      <w:pPr>
        <w:keepNext w:val="0"/>
      </w:pPr>
      <w:r>
        <w:rPr>
          <w:rFonts w:ascii="Calibri" w:hAnsi="Calibri" w:eastAsia="Microsoft YaHei" w:cs="Calibri"/>
          <w:b/>
        </w:rPr>
        <w:t>证据边界：</w:t>
      </w:r>
      <w:r>
        <w:rPr>
          <w:rFonts w:ascii="Calibri" w:hAnsi="Calibri" w:eastAsia="Microsoft YaHei" w:cs="Calibri"/>
        </w:rPr>
        <w:t>本文是综述，论文明确提出的是概念框架、文献分类和研究议程，不是一个在统一数据集上端到端验证的新系统。后文中的性能数字均来自论文引用并汇总的既有工作。</w:t>
      </w:r>
    </w:p>
    <w:p>
      <w:pPr>
        <w:pStyle w:val="Heading1"/>
        <w:keepNext/>
      </w:pPr>
      <w:r>
        <w:t>2. 核心创新亮点</w:t>
      </w:r>
    </w:p>
    <w:p>
      <w:pPr>
        <w:pStyle w:val="Heading2"/>
        <w:keepNext/>
      </w:pPr>
      <w:r>
        <w:t>【理论创新】概念统一与问题重述</w:t>
      </w:r>
    </w:p>
    <w:p>
      <w:pPr>
        <w:keepNext w:val="0"/>
      </w:pPr>
      <w:r>
        <w:rPr>
          <w:rFonts w:ascii="Calibri" w:hAnsi="Calibri" w:eastAsia="Microsoft YaHei" w:cs="Calibri"/>
        </w:rPr>
        <w:t>论文最重要的理论贡献不是新损失函数或新网络结构，而是把“推理”和“工具调用”统一解释为上下文增强。推理通过分解任务、增加计算步骤或产生工作记忆，让模型自己构造更有用的上下文；工具通过非参数模块补入事实、计算结果或环境反馈。两者最终都服务于更可靠的词元预测，却使系统超出纯粹参数化语言建模的边界。</w:t>
      </w:r>
    </w:p>
    <w:p>
      <w:pPr>
        <w:keepNext w:val="0"/>
      </w:pPr>
      <w:r>
        <w:rPr>
          <w:rFonts w:ascii="Calibri" w:hAnsi="Calibri" w:eastAsia="Microsoft YaHei" w:cs="Calibri"/>
        </w:rPr>
        <w:t>作者给出三个关键定义。推理（Reasoning）是把复杂任务拆成模型自身或借助工具更容易解决的子任务；工具（Tool）是通过规则或特殊词元调用、并把输出写回上下文的外部模块；行动（Act）是工具调用对虚拟或物理世界产生影响并返回可观察结果。这个定义把“会想”“会查”“会算”“会执行”放进同一交互闭环。</w:t>
      </w:r>
    </w:p>
    <w:p>
      <w:pPr>
        <w:keepNext w:val="0"/>
      </w:pPr>
      <w:r>
        <w:rPr>
          <w:rFonts w:ascii="Calibri" w:hAnsi="Calibri" w:eastAsia="Microsoft YaHei" w:cs="Calibri"/>
        </w:rPr>
        <w:t>论文进一步用三条轴组织文献：一是推理能力，包括链式思维、递归分解和显式工作记忆；二是工具与行动，包括其他模型、检索、搜索/浏览器、符号模块、代码解释器及虚拟/物理执行器；三是学习方式，包括少样本提示、监督微调、引导式自举、强化学习与人类反馈强化学习。</w:t>
      </w:r>
    </w:p>
    <w:p>
      <w:pPr>
        <w:keepNext w:val="0"/>
      </w:pPr>
      <w:r>
        <w:rPr>
          <w:rFonts w:ascii="Calibri" w:hAnsi="Calibri" w:eastAsia="Microsoft YaHei" w:cs="Calibri"/>
        </w:rPr>
        <w:t>另一个具有前瞻性的观点是把工具增强看作非参数化框架的推广。检索只是外部记忆的一种形式；计算、模拟、代码执行和环境交互也可以被视为模型按需委托的外部能力。作者由此提出一个尚未解决的权衡：哪些知识应记在参数里，哪些能力应交给工具，以及是否可以把调用成本纳入学习目标。</w:t>
      </w:r>
    </w:p>
    <w:p>
      <w:pPr>
        <w:pStyle w:val="Heading2"/>
        <w:keepNext/>
      </w:pPr>
      <w:r>
        <w:t>【工程落地创新】模块化 Agent 设计模式</w:t>
      </w:r>
    </w:p>
    <w:p>
      <w:pPr>
        <w:keepNext w:val="0"/>
      </w:pPr>
      <w:r>
        <w:rPr>
          <w:rFonts w:ascii="Calibri" w:hAnsi="Calibri" w:eastAsia="Microsoft YaHei" w:cs="Calibri"/>
        </w:rPr>
        <w:t>工程层面的价值主要来自跨工作的抽象，而非论文提供了可直接部署的统一代码。可复用的系统模式是：语言模型负责理解任务和生成计划；外部模块负责检索、计算、验证或执行；工具结果以文本或结构化观察回填；模型再决定继续分解、改写查询、重试还是输出。ReAct、IRCoT、WebGPT、PAL、SayCan 等工作分别覆盖了这个闭环的不同位置。</w:t>
      </w:r>
    </w:p>
    <w:p>
      <w:pPr>
        <w:keepNext w:val="0"/>
      </w:pPr>
      <w:r>
        <w:rPr>
          <w:rFonts w:ascii="Calibri" w:hAnsi="Calibri" w:eastAsia="Microsoft YaHei" w:cs="Calibri"/>
        </w:rPr>
        <w:t>论文还把“如何获得工具使用能力”拆成多个工程选项：少量演示适合快速验证；监督微调适合稳定固化行为；自举可以筛选能得到正确结果的轨迹；强化学习适合具有可计算奖励的序列决策；RLHF 适合难以用硬规则刻画的偏好。这个划分为 Agent 原型从提示工程走向数据和训练提供了演进路线。</w:t>
      </w:r>
    </w:p>
    <w:p>
      <w:pPr>
        <w:keepNext w:val="0"/>
      </w:pPr>
      <w:r>
        <w:rPr>
          <w:rFonts w:ascii="Calibri" w:hAnsi="Calibri" w:eastAsia="Microsoft YaHei" w:cs="Calibri"/>
        </w:rPr>
        <w:t>需要避免夸大：论文没有证明某个通用 Agent 架构已经优于所有基线，也没有证明所有工具都会减少幻觉。它的工程创新更准确地说是一套设计空间和证据地图。</w:t>
      </w:r>
    </w:p>
    <w:p>
      <w:pPr>
        <w:pStyle w:val="Heading1"/>
        <w:keepNext/>
      </w:pPr>
      <w:r>
        <w:t>3. 方法架构通俗拆解</w:t>
      </w:r>
    </w:p>
    <w:p>
      <w:pPr>
        <w:keepNext w:val="0"/>
      </w:pPr>
      <w:r>
        <w:rPr>
          <w:rFonts w:ascii="Calibri" w:hAnsi="Calibri" w:eastAsia="Microsoft YaHei" w:cs="Calibri"/>
        </w:rPr>
        <w:t>从系统视角看，ALM 不是单一模型，而是一个“模型 - 工具 - 环境”的循环。论文讨论的方法可以压缩为以下链路：任务进入当前上下文，模型先判断是否需要分解；若仅靠权重不足，则产生工具调用；工具输出变成新的观察；模型在更新后的上下文中继续推理，直到生成答案或完成行动。</w:t>
      </w:r>
    </w:p>
    <w:p>
      <w:pPr>
        <w:pStyle w:val="Heading2"/>
        <w:keepNext/>
      </w:pPr>
      <w:r>
        <w:t>第一步：任务输入与当前上下文</w:t>
      </w:r>
    </w:p>
    <w:p>
      <w:pPr>
        <w:keepNext w:val="0"/>
      </w:pPr>
      <w:r>
        <w:rPr>
          <w:rFonts w:ascii="Calibri" w:hAnsi="Calibri" w:eastAsia="Microsoft YaHei" w:cs="Calibri"/>
        </w:rPr>
        <w:t>输入可以是问题、对话历史、目标描述或环境观测。传统语言模型主要在固定窗口内直接预测答案；ALM 则把这个窗口当作可持续更新的短期工作区。外部文档、执行结果、搜索页面或传感器描述都可以被加入其中。</w:t>
      </w:r>
    </w:p>
    <w:p>
      <w:pPr>
        <w:pStyle w:val="Heading2"/>
        <w:keepNext/>
      </w:pPr>
      <w:r>
        <w:t>第二步：推理与任务分解</w:t>
      </w:r>
    </w:p>
    <w:p>
      <w:pPr>
        <w:keepNext w:val="0"/>
      </w:pPr>
      <w:r>
        <w:rPr>
          <w:rFonts w:ascii="Calibri" w:hAnsi="Calibri" w:eastAsia="Microsoft YaHei" w:cs="Calibri"/>
        </w:rPr>
        <w:t>链式思维（Chain-of-Thought, CoT）用示例或“逐步思考”提示模型先写中间步骤。递归提示进一步把难题拆成子问题，并按顺序把前一步答案带入下一步。显式工作记忆或 scratchpad 则在训练阶段就让模型学习产生计算轨迹。直观上，这些方法都是用更多推理时计算换取更相关的上下文。</w:t>
      </w:r>
    </w:p>
    <w:p>
      <w:pPr>
        <w:pStyle w:val="Heading2"/>
        <w:keepNext/>
      </w:pPr>
      <w:r>
        <w:t>第三步：工具路由与调用</w:t>
      </w:r>
    </w:p>
    <w:p>
      <w:pPr>
        <w:keepNext w:val="0"/>
      </w:pPr>
      <w:r>
        <w:rPr>
          <w:rFonts w:ascii="Calibri" w:hAnsi="Calibri" w:eastAsia="Microsoft YaHei" w:cs="Calibri"/>
        </w:rPr>
        <w:t>当模型需要权重之外的信息或高精度操作时，可以调用五类工具：其他模型或多模态编码器；稀疏/稠密检索器；搜索引擎和网页浏览器；计算器、符号模块、代码解释器或物理模拟器；对虚拟环境和机器人产生作用的执行接口。调用可以由固定规则触发，也可以由模型通过特殊词元、自然语言命令或 API 参数主动生成。</w:t>
      </w:r>
    </w:p>
    <w:p>
      <w:pPr>
        <w:pStyle w:val="Heading2"/>
        <w:keepNext/>
      </w:pPr>
      <w:r>
        <w:t>第四步：观察回填与循环校验</w:t>
      </w:r>
    </w:p>
    <w:p>
      <w:pPr>
        <w:keepNext w:val="0"/>
      </w:pPr>
      <w:r>
        <w:rPr>
          <w:rFonts w:ascii="Calibri" w:hAnsi="Calibri" w:eastAsia="Microsoft YaHei" w:cs="Calibri"/>
        </w:rPr>
        <w:t>工具结果不会自动等于最终答案，而是作为新的上下文证据。IRCoT 让检索结果引导下一步推理，同时让中间推理改写下一次检索；ReAct 交替生成推理和行动；WebGPT 根据页面内容继续搜索、点击、定位和引用。这个循环允许模型在中间步骤纠错，但前提是观察可靠、接口受控、状态没有在长链路中丢失。</w:t>
      </w:r>
    </w:p>
    <w:p>
      <w:pPr>
        <w:pStyle w:val="Heading2"/>
        <w:keepNext/>
      </w:pPr>
      <w:r>
        <w:t>第五步：学习调用策略</w:t>
      </w:r>
    </w:p>
    <w:p>
      <w:pPr>
        <w:keepNext w:val="0"/>
      </w:pPr>
      <w:r>
        <w:rPr>
          <w:rFonts w:ascii="Calibri" w:hAnsi="Calibri" w:eastAsia="Microsoft YaHei" w:cs="Calibri"/>
        </w:rPr>
        <w:t>最轻量的做法是在提示中给几条演示，不更新参数；更稳定的做法是用人工或自动轨迹进行监督微调。若工具不可微分且任务有明确成功条件，可把模型视为策略，通过 REINFORCE、PPO、A3C 等方法根据奖励学习。RLHF 则先用人类偏好训练奖励模型，再优化语言模型。Toolformer 展示了自监督方向：先采样潜在工具调用，再保留能降低后续词元困惑度的调用并用于微调。</w:t>
      </w:r>
    </w:p>
    <w:p>
      <w:pPr>
        <w:pStyle w:val="Heading2"/>
        <w:keepNext/>
      </w:pPr>
      <w:r>
        <w:t>输入、输出与系统边界</w:t>
      </w:r>
    </w:p>
    <w:p>
      <w:pPr>
        <w:keepNext w:val="0"/>
      </w:pPr>
      <w:r>
        <w:rPr>
          <w:rFonts w:ascii="Calibri" w:hAnsi="Calibri" w:eastAsia="Microsoft YaHei" w:cs="Calibri"/>
        </w:rPr>
        <w:t>最终输出可能是自然语言答案、带证据引用的报告、可执行代码、网页操作命令或机器人动作。被动工具只补充信息；主动工具会改变外部世界，因此必须额外考虑权限、可撤销性和人工确认。论文强调，推理轨迹本身不等于真实因果解释，工具返回也不天然可信；系统可靠性来自分解、执行、证据和校验的组合，而不是单独增加一段“思考文本”。</w:t>
      </w:r>
    </w:p>
    <w:p>
      <w:pPr>
        <w:pStyle w:val="Heading1"/>
        <w:keepNext/>
      </w:pPr>
      <w:r>
        <w:t>4. 实验配置与效果</w:t>
      </w:r>
    </w:p>
    <w:p>
      <w:pPr>
        <w:keepNext w:val="0"/>
      </w:pPr>
      <w:r>
        <w:rPr>
          <w:rFonts w:ascii="Calibri" w:hAnsi="Calibri" w:eastAsia="Microsoft YaHei" w:cs="Calibri"/>
        </w:rPr>
        <w:t>论文没有自行训练 ALM，也没有在统一数据集、统一模型规模或统一计算预算下开展实验。该节证据来自作者对既有论文的汇总，因此只能说明各方法在其原始设置中的结果，不能直接当作严格横向复现结论。</w:t>
      </w:r>
    </w:p>
    <w:p>
      <w:pPr>
        <w:pStyle w:val="Heading2"/>
        <w:keepNext/>
      </w:pPr>
      <w:r>
        <w:t>GSM8K 数学推理结果</w:t>
      </w:r>
    </w:p>
    <w:tbl>
      <w:tblPr>
        <w:tblStyle w:val="TableGrid"/>
        <w:tblW w:type="dxa" w:w="9360"/>
        <w:tblLayout w:type="fixed"/>
        <w:tblLook w:firstColumn="1" w:firstRow="1" w:lastColumn="0" w:lastRow="0" w:noHBand="0" w:noVBand="1" w:val="04A0"/>
        <w:jc w:val="left"/>
        <w:tblInd w:w="120" w:type="dxa"/>
      </w:tblPr>
      <w:tblGrid>
        <w:gridCol w:w="7560"/>
        <w:gridCol w:w="1800"/>
      </w:tblGrid>
      <w:tr>
        <w:trPr>
          <w:tblHeader w:val="true"/>
        </w:trPr>
        <w:tc>
          <w:tcPr>
            <w:tcW w:type="dxa" w:w="7560"/>
            <w:tcMar>
              <w:top w:w="50" w:type="dxa"/>
              <w:start w:w="120" w:type="dxa"/>
              <w:bottom w:w="50" w:type="dxa"/>
              <w:end w:w="120" w:type="dxa"/>
            </w:tcMar>
            <w:vAlign w:val="center"/>
            <w:shd w:fill="F2F4F7"/>
          </w:tcPr>
          <w:p>
            <w:pPr>
              <w:spacing w:before="0" w:after="0" w:line="264" w:lineRule="auto"/>
              <w:jc w:val="left"/>
            </w:pPr>
            <w:r>
              <w:rPr>
                <w:rFonts w:ascii="Calibri" w:hAnsi="Calibri" w:eastAsia="Microsoft YaHei" w:cs="Calibri"/>
                <w:b/>
                <w:color w:val="1F4D78"/>
                <w:sz w:val="18"/>
              </w:rPr>
              <w:t>模型 / 方法</w:t>
            </w:r>
          </w:p>
        </w:tc>
        <w:tc>
          <w:tcPr>
            <w:tcW w:type="dxa" w:w="1800"/>
            <w:tcMar>
              <w:top w:w="50" w:type="dxa"/>
              <w:start w:w="120" w:type="dxa"/>
              <w:bottom w:w="50" w:type="dxa"/>
              <w:end w:w="120" w:type="dxa"/>
            </w:tcMar>
            <w:vAlign w:val="center"/>
            <w:shd w:fill="F2F4F7"/>
          </w:tcPr>
          <w:p>
            <w:pPr>
              <w:spacing w:before="0" w:after="0" w:line="264" w:lineRule="auto"/>
              <w:jc w:val="center"/>
            </w:pPr>
            <w:r>
              <w:rPr>
                <w:rFonts w:ascii="Calibri" w:hAnsi="Calibri" w:eastAsia="Microsoft YaHei" w:cs="Calibri"/>
                <w:b/>
                <w:color w:val="1F4D78"/>
                <w:sz w:val="18"/>
              </w:rPr>
              <w:t>准确率（%）</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OpenAI text-davinci-002</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15.6</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OpenAI text-davinci-002 + CoT</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46.9</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OpenAI text-davinci-002 + CoT + Calculator</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46.9</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OpenAI code-davinci-002</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19.7</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OpenAI code-davinci-002 + CoT</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63.1</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OpenAI code-davinci-002 + CoT + Calculator</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65.4</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GPT-3 175B + FT + CoT + Calculator</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34.0</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GPT-3 175B + FT + CoT + Calculator + Verifier</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55.0</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PaLM 540B</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17.0</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PaLM 540B + CoT</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54.0</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PaLM 540B + CoT + Calculator</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58.0</w:t>
            </w:r>
          </w:p>
        </w:tc>
      </w:tr>
      <w:tr>
        <w:tc>
          <w:tcPr>
            <w:tcW w:type="dxa" w:w="7560"/>
            <w:tcMar>
              <w:top w:w="50" w:type="dxa"/>
              <w:start w:w="120" w:type="dxa"/>
              <w:bottom w:w="50" w:type="dxa"/>
              <w:end w:w="120" w:type="dxa"/>
            </w:tcMar>
            <w:vAlign w:val="center"/>
          </w:tcPr>
          <w:p>
            <w:pPr>
              <w:spacing w:before="0" w:after="0" w:line="264" w:lineRule="auto"/>
              <w:jc w:val="left"/>
            </w:pPr>
            <w:r>
              <w:rPr>
                <w:rFonts w:ascii="Calibri" w:hAnsi="Calibri" w:eastAsia="Microsoft YaHei" w:cs="Calibri"/>
                <w:color w:val="1F2937"/>
                <w:sz w:val="18"/>
              </w:rPr>
              <w:t>PAL</w:t>
            </w:r>
          </w:p>
        </w:tc>
        <w:tc>
          <w:tcPr>
            <w:tcW w:type="dxa" w:w="1800"/>
            <w:tcMar>
              <w:top w:w="50" w:type="dxa"/>
              <w:start w:w="120" w:type="dxa"/>
              <w:bottom w:w="50" w:type="dxa"/>
              <w:end w:w="120" w:type="dxa"/>
            </w:tcMar>
            <w:vAlign w:val="center"/>
          </w:tcPr>
          <w:p>
            <w:pPr>
              <w:spacing w:before="0" w:after="0" w:line="264" w:lineRule="auto"/>
              <w:jc w:val="center"/>
            </w:pPr>
            <w:r>
              <w:rPr>
                <w:rFonts w:ascii="Calibri" w:hAnsi="Calibri" w:eastAsia="Microsoft YaHei" w:cs="Calibri"/>
                <w:color w:val="1F2937"/>
                <w:sz w:val="18"/>
              </w:rPr>
              <w:t>72.0</w:t>
            </w:r>
          </w:p>
        </w:tc>
      </w:tr>
    </w:tbl>
    <w:p>
      <w:pPr>
        <w:pStyle w:val="TableSource"/>
      </w:pPr>
      <w:r>
        <w:rPr>
          <w:rFonts w:ascii="Calibri" w:hAnsi="Calibri" w:eastAsia="Microsoft YaHei" w:cs="Calibri"/>
          <w:i/>
          <w:color w:val="5B6573"/>
          <w:sz w:val="18"/>
        </w:rPr>
        <w:t>来源：原文表 1（第 6 页）。FT 表示微调，CoT 表示链式思维；数值分别汇总自 Wei et al. (2022c)、Cobbe et al. (2021)、Chowdhery et al. (2022) 与 Gao et al. (2022)。</w:t>
      </w:r>
    </w:p>
    <w:p>
      <w:pPr>
        <w:keepNext w:val="0"/>
      </w:pPr>
      <w:r>
        <w:rPr>
          <w:rFonts w:ascii="Calibri" w:hAnsi="Calibri" w:eastAsia="Microsoft YaHei" w:cs="Calibri"/>
        </w:rPr>
        <w:t>表中最直接的现象是：在相同模型条目下，CoT 相比直接作答有明显提升。例如 text-davinci-002 从 15.6% 提升到 46.9%，code-davinci-002 从 19.7% 提升到 63.1%，PaLM 540B 从 17.0% 提升到 54.0%。计算器并非在所有配置上都继续增益：text-davinci-002 的 46.9% 没有变化；code-davinci-002 从 63.1% 到 65.4%，PaLM 从 54.0% 到 58.0%。PAL 以程序辅助方式达到 72.0%，是原表最高值。</w:t>
      </w:r>
    </w:p>
    <w:p>
      <w:pPr>
        <w:keepNext w:val="0"/>
      </w:pPr>
      <w:r>
        <w:rPr>
          <w:rFonts w:ascii="Calibri" w:hAnsi="Calibri" w:eastAsia="Microsoft YaHei" w:cs="Calibri"/>
        </w:rPr>
        <w:t>这些结果支持“把语言分解与精确执行分开”这一思路，但不能推出工具必然有效。原表跨越不同模型、微调条件和论文来源；作者没有给出统一的方差、显著性检验、推理成本或延迟数据。</w:t>
      </w:r>
    </w:p>
    <w:p>
      <w:pPr>
        <w:pStyle w:val="Heading2"/>
        <w:keepNext/>
      </w:pPr>
      <w:r>
        <w:t>检索增强模型配置对照</w:t>
      </w:r>
    </w:p>
    <w:tbl>
      <w:tblPr>
        <w:tblStyle w:val="TableGrid"/>
        <w:tblW w:type="dxa" w:w="9360"/>
        <w:tblLayout w:type="fixed"/>
        <w:tblLook w:firstColumn="1" w:firstRow="1" w:lastColumn="0" w:lastRow="0" w:noHBand="0" w:noVBand="1" w:val="04A0"/>
        <w:jc w:val="left"/>
        <w:tblInd w:w="120" w:type="dxa"/>
      </w:tblPr>
      <w:tblGrid>
        <w:gridCol w:w="1750"/>
        <w:gridCol w:w="2050"/>
        <w:gridCol w:w="1200"/>
        <w:gridCol w:w="1500"/>
        <w:gridCol w:w="2860"/>
      </w:tblGrid>
      <w:tr>
        <w:trPr>
          <w:tblHeader w:val="true"/>
        </w:trPr>
        <w:tc>
          <w:tcPr>
            <w:tcW w:type="dxa" w:w="1750"/>
            <w:tcMar>
              <w:top w:w="80" w:type="dxa"/>
              <w:start w:w="120" w:type="dxa"/>
              <w:bottom w:w="80" w:type="dxa"/>
              <w:end w:w="120" w:type="dxa"/>
            </w:tcMar>
            <w:vAlign w:val="center"/>
            <w:shd w:fill="F2F4F7"/>
          </w:tcPr>
          <w:p>
            <w:pPr>
              <w:spacing w:before="0" w:after="0" w:line="264" w:lineRule="auto"/>
              <w:jc w:val="left"/>
            </w:pPr>
            <w:r>
              <w:rPr>
                <w:rFonts w:ascii="Calibri" w:hAnsi="Calibri" w:eastAsia="Microsoft YaHei" w:cs="Calibri"/>
                <w:b/>
                <w:color w:val="1F4D78"/>
                <w:sz w:val="17"/>
              </w:rPr>
              <w:t>模型</w:t>
            </w:r>
          </w:p>
        </w:tc>
        <w:tc>
          <w:tcPr>
            <w:tcW w:type="dxa" w:w="2050"/>
            <w:tcMar>
              <w:top w:w="80" w:type="dxa"/>
              <w:start w:w="120" w:type="dxa"/>
              <w:bottom w:w="80" w:type="dxa"/>
              <w:end w:w="120" w:type="dxa"/>
            </w:tcMar>
            <w:vAlign w:val="center"/>
            <w:shd w:fill="F2F4F7"/>
          </w:tcPr>
          <w:p>
            <w:pPr>
              <w:spacing w:before="0" w:after="0" w:line="264" w:lineRule="auto"/>
              <w:jc w:val="center"/>
            </w:pPr>
            <w:r>
              <w:rPr>
                <w:rFonts w:ascii="Calibri" w:hAnsi="Calibri" w:eastAsia="Microsoft YaHei" w:cs="Calibri"/>
                <w:b/>
                <w:color w:val="1F4D78"/>
                <w:sz w:val="17"/>
              </w:rPr>
              <w:t>检索库规模（词元量级）</w:t>
            </w:r>
          </w:p>
        </w:tc>
        <w:tc>
          <w:tcPr>
            <w:tcW w:type="dxa" w:w="1200"/>
            <w:tcMar>
              <w:top w:w="80" w:type="dxa"/>
              <w:start w:w="120" w:type="dxa"/>
              <w:bottom w:w="80" w:type="dxa"/>
              <w:end w:w="120" w:type="dxa"/>
            </w:tcMar>
            <w:vAlign w:val="center"/>
            <w:shd w:fill="F2F4F7"/>
          </w:tcPr>
          <w:p>
            <w:pPr>
              <w:spacing w:before="0" w:after="0" w:line="264" w:lineRule="auto"/>
              <w:jc w:val="center"/>
            </w:pPr>
            <w:r>
              <w:rPr>
                <w:rFonts w:ascii="Calibri" w:hAnsi="Calibri" w:eastAsia="Microsoft YaHei" w:cs="Calibri"/>
                <w:b/>
                <w:color w:val="1F4D78"/>
                <w:sz w:val="17"/>
              </w:rPr>
              <w:t>粒度</w:t>
            </w:r>
          </w:p>
        </w:tc>
        <w:tc>
          <w:tcPr>
            <w:tcW w:type="dxa" w:w="1500"/>
            <w:tcMar>
              <w:top w:w="80" w:type="dxa"/>
              <w:start w:w="120" w:type="dxa"/>
              <w:bottom w:w="80" w:type="dxa"/>
              <w:end w:w="120" w:type="dxa"/>
            </w:tcMar>
            <w:vAlign w:val="center"/>
            <w:shd w:fill="F2F4F7"/>
          </w:tcPr>
          <w:p>
            <w:pPr>
              <w:spacing w:before="0" w:after="0" w:line="264" w:lineRule="auto"/>
              <w:jc w:val="center"/>
            </w:pPr>
            <w:r>
              <w:rPr>
                <w:rFonts w:ascii="Calibri" w:hAnsi="Calibri" w:eastAsia="Microsoft YaHei" w:cs="Calibri"/>
                <w:b/>
                <w:color w:val="1F4D78"/>
                <w:sz w:val="17"/>
              </w:rPr>
              <w:t>检索器训练</w:t>
            </w:r>
          </w:p>
        </w:tc>
        <w:tc>
          <w:tcPr>
            <w:tcW w:type="dxa" w:w="2860"/>
            <w:tcMar>
              <w:top w:w="80" w:type="dxa"/>
              <w:start w:w="120" w:type="dxa"/>
              <w:bottom w:w="80" w:type="dxa"/>
              <w:end w:w="120" w:type="dxa"/>
            </w:tcMar>
            <w:vAlign w:val="center"/>
            <w:shd w:fill="F2F4F7"/>
          </w:tcPr>
          <w:p>
            <w:pPr>
              <w:spacing w:before="0" w:after="0" w:line="264" w:lineRule="auto"/>
              <w:jc w:val="left"/>
            </w:pPr>
            <w:r>
              <w:rPr>
                <w:rFonts w:ascii="Calibri" w:hAnsi="Calibri" w:eastAsia="Microsoft YaHei" w:cs="Calibri"/>
                <w:b/>
                <w:color w:val="1F4D78"/>
                <w:sz w:val="17"/>
              </w:rPr>
              <w:t>结果注入方式</w:t>
            </w:r>
          </w:p>
        </w:tc>
      </w:tr>
      <w:tr>
        <w:tc>
          <w:tcPr>
            <w:tcW w:type="dxa" w:w="1750"/>
            <w:tcMar>
              <w:top w:w="80" w:type="dxa"/>
              <w:start w:w="120" w:type="dxa"/>
              <w:bottom w:w="80" w:type="dxa"/>
              <w:end w:w="120" w:type="dxa"/>
            </w:tcMar>
            <w:vAlign w:val="center"/>
          </w:tcPr>
          <w:p>
            <w:pPr>
              <w:spacing w:before="0" w:after="0" w:line="264" w:lineRule="auto"/>
              <w:jc w:val="left"/>
            </w:pPr>
            <w:r>
              <w:rPr>
                <w:rFonts w:ascii="Calibri" w:hAnsi="Calibri" w:eastAsia="Microsoft YaHei" w:cs="Calibri"/>
                <w:color w:val="1F2937"/>
                <w:sz w:val="17"/>
              </w:rPr>
              <w:t>REALM</w:t>
            </w:r>
          </w:p>
        </w:tc>
        <w:tc>
          <w:tcPr>
            <w:tcW w:type="dxa" w:w="205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O(10^9)</w:t>
            </w:r>
          </w:p>
        </w:tc>
        <w:tc>
          <w:tcPr>
            <w:tcW w:type="dxa" w:w="120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Prompt</w:t>
            </w:r>
          </w:p>
        </w:tc>
        <w:tc>
          <w:tcPr>
            <w:tcW w:type="dxa" w:w="150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端到端</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cs="Calibri"/>
                <w:color w:val="1F2937"/>
                <w:sz w:val="17"/>
              </w:rPr>
              <w:t>追加到提示</w:t>
            </w:r>
          </w:p>
        </w:tc>
      </w:tr>
      <w:tr>
        <w:tc>
          <w:tcPr>
            <w:tcW w:type="dxa" w:w="1750"/>
            <w:tcMar>
              <w:top w:w="80" w:type="dxa"/>
              <w:start w:w="120" w:type="dxa"/>
              <w:bottom w:w="80" w:type="dxa"/>
              <w:end w:w="120" w:type="dxa"/>
            </w:tcMar>
            <w:vAlign w:val="center"/>
          </w:tcPr>
          <w:p>
            <w:pPr>
              <w:spacing w:before="0" w:after="0" w:line="264" w:lineRule="auto"/>
              <w:jc w:val="left"/>
            </w:pPr>
            <w:r>
              <w:rPr>
                <w:rFonts w:ascii="Calibri" w:hAnsi="Calibri" w:eastAsia="Microsoft YaHei" w:cs="Calibri"/>
                <w:color w:val="1F2937"/>
                <w:sz w:val="17"/>
              </w:rPr>
              <w:t>RAG</w:t>
            </w:r>
          </w:p>
        </w:tc>
        <w:tc>
          <w:tcPr>
            <w:tcW w:type="dxa" w:w="205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O(10^9)</w:t>
            </w:r>
          </w:p>
        </w:tc>
        <w:tc>
          <w:tcPr>
            <w:tcW w:type="dxa" w:w="120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Prompt</w:t>
            </w:r>
          </w:p>
        </w:tc>
        <w:tc>
          <w:tcPr>
            <w:tcW w:type="dxa" w:w="150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微调</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cs="Calibri"/>
                <w:color w:val="1F2937"/>
                <w:sz w:val="17"/>
              </w:rPr>
              <w:t>交叉注意力</w:t>
            </w:r>
          </w:p>
        </w:tc>
      </w:tr>
      <w:tr>
        <w:tc>
          <w:tcPr>
            <w:tcW w:type="dxa" w:w="1750"/>
            <w:tcMar>
              <w:top w:w="80" w:type="dxa"/>
              <w:start w:w="120" w:type="dxa"/>
              <w:bottom w:w="80" w:type="dxa"/>
              <w:end w:w="120" w:type="dxa"/>
            </w:tcMar>
            <w:vAlign w:val="center"/>
          </w:tcPr>
          <w:p>
            <w:pPr>
              <w:spacing w:before="0" w:after="0" w:line="264" w:lineRule="auto"/>
              <w:jc w:val="left"/>
            </w:pPr>
            <w:r>
              <w:rPr>
                <w:rFonts w:ascii="Calibri" w:hAnsi="Calibri" w:eastAsia="Microsoft YaHei" w:cs="Calibri"/>
                <w:color w:val="1F2937"/>
                <w:sz w:val="17"/>
              </w:rPr>
              <w:t>RETRO</w:t>
            </w:r>
          </w:p>
        </w:tc>
        <w:tc>
          <w:tcPr>
            <w:tcW w:type="dxa" w:w="205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O(10^12)</w:t>
            </w:r>
          </w:p>
        </w:tc>
        <w:tc>
          <w:tcPr>
            <w:tcW w:type="dxa" w:w="120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Chunk</w:t>
            </w:r>
          </w:p>
        </w:tc>
        <w:tc>
          <w:tcPr>
            <w:tcW w:type="dxa" w:w="150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冻结</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cs="Calibri"/>
                <w:color w:val="1F2937"/>
                <w:sz w:val="17"/>
              </w:rPr>
              <w:t>分块交叉注意力</w:t>
            </w:r>
          </w:p>
        </w:tc>
      </w:tr>
      <w:tr>
        <w:tc>
          <w:tcPr>
            <w:tcW w:type="dxa" w:w="1750"/>
            <w:tcMar>
              <w:top w:w="80" w:type="dxa"/>
              <w:start w:w="120" w:type="dxa"/>
              <w:bottom w:w="80" w:type="dxa"/>
              <w:end w:w="120" w:type="dxa"/>
            </w:tcMar>
            <w:vAlign w:val="center"/>
          </w:tcPr>
          <w:p>
            <w:pPr>
              <w:spacing w:before="0" w:after="0" w:line="264" w:lineRule="auto"/>
              <w:jc w:val="left"/>
            </w:pPr>
            <w:r>
              <w:rPr>
                <w:rFonts w:ascii="Calibri" w:hAnsi="Calibri" w:eastAsia="Microsoft YaHei" w:cs="Calibri"/>
                <w:color w:val="1F2937"/>
                <w:sz w:val="17"/>
              </w:rPr>
              <w:t>Atlas</w:t>
            </w:r>
          </w:p>
        </w:tc>
        <w:tc>
          <w:tcPr>
            <w:tcW w:type="dxa" w:w="205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O(10^9)</w:t>
            </w:r>
          </w:p>
        </w:tc>
        <w:tc>
          <w:tcPr>
            <w:tcW w:type="dxa" w:w="120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Prompt</w:t>
            </w:r>
          </w:p>
        </w:tc>
        <w:tc>
          <w:tcPr>
            <w:tcW w:type="dxa" w:w="1500"/>
            <w:tcMar>
              <w:top w:w="80" w:type="dxa"/>
              <w:start w:w="120" w:type="dxa"/>
              <w:bottom w:w="80" w:type="dxa"/>
              <w:end w:w="120" w:type="dxa"/>
            </w:tcMar>
            <w:vAlign w:val="center"/>
          </w:tcPr>
          <w:p>
            <w:pPr>
              <w:spacing w:before="0" w:after="0" w:line="264" w:lineRule="auto"/>
              <w:jc w:val="center"/>
            </w:pPr>
            <w:r>
              <w:rPr>
                <w:rFonts w:ascii="Calibri" w:hAnsi="Calibri" w:eastAsia="Microsoft YaHei" w:cs="Calibri"/>
                <w:color w:val="1F2937"/>
                <w:sz w:val="17"/>
              </w:rPr>
              <w:t>微调</w:t>
            </w:r>
          </w:p>
        </w:tc>
        <w:tc>
          <w:tcPr>
            <w:tcW w:type="dxa" w:w="2860"/>
            <w:tcMar>
              <w:top w:w="80" w:type="dxa"/>
              <w:start w:w="120" w:type="dxa"/>
              <w:bottom w:w="80" w:type="dxa"/>
              <w:end w:w="120" w:type="dxa"/>
            </w:tcMar>
            <w:vAlign w:val="center"/>
          </w:tcPr>
          <w:p>
            <w:pPr>
              <w:spacing w:before="0" w:after="0" w:line="264" w:lineRule="auto"/>
              <w:jc w:val="left"/>
            </w:pPr>
            <w:r>
              <w:rPr>
                <w:rFonts w:ascii="Calibri" w:hAnsi="Calibri" w:eastAsia="Microsoft YaHei" w:cs="Calibri"/>
                <w:color w:val="1F2937"/>
                <w:sz w:val="17"/>
              </w:rPr>
              <w:t>交叉注意力</w:t>
            </w:r>
          </w:p>
        </w:tc>
      </w:tr>
    </w:tbl>
    <w:p>
      <w:pPr>
        <w:pStyle w:val="TableSource"/>
      </w:pPr>
      <w:r>
        <w:rPr>
          <w:rFonts w:ascii="Calibri" w:hAnsi="Calibri" w:eastAsia="Microsoft YaHei" w:cs="Calibri"/>
          <w:i/>
          <w:color w:val="5B6573"/>
          <w:sz w:val="18"/>
        </w:rPr>
        <w:t>来源：原文表 2（第 11 页）。论文说明该表受 Borgeaud et al. (2022) 表 3 启发；这里的查询对应提示（prompt）。</w:t>
      </w:r>
    </w:p>
    <w:p>
      <w:pPr>
        <w:keepNext w:val="0"/>
      </w:pPr>
      <w:r>
        <w:rPr>
          <w:rFonts w:ascii="Calibri" w:hAnsi="Calibri" w:eastAsia="Microsoft YaHei" w:cs="Calibri"/>
        </w:rPr>
        <w:t>该对照表强调，检索增强并不是一种固定实现。差异来自检索触发粒度、检索器是否联合训练，以及外部证据如何进入生成模型。RETRO 使用 O(10^12) 量级语料、按块检索并冻结检索器；REALM、RAG、Atlas 则列为 O(10^9) 量级。原文没有在这张表中给出四者统一任务上的具体准确率，因此不能据此判断绝对优劣。</w:t>
      </w:r>
    </w:p>
    <w:p>
      <w:pPr>
        <w:pStyle w:val="Heading2"/>
        <w:keepNext/>
      </w:pPr>
      <w:r>
        <w:t>其他代表性证据</w:t>
      </w:r>
    </w:p>
    <w:p>
      <w:pPr>
        <w:keepNext w:val="0"/>
      </w:pPr>
      <w:r>
        <w:rPr>
          <w:rFonts w:ascii="Calibri" w:hAnsi="Calibri" w:eastAsia="Microsoft YaHei" w:cs="Calibri"/>
        </w:rPr>
        <w:t>论文还报告了多项定性或非统一量化证据：Mind's Eye 借助物理引擎，在某些物理推理任务上以少两个数量级的参数超过更大的语言模型，但原文此处未给出具体分数；WebGPT 在两个问答数据集上的答案相对人工答案更受偏好，并比原始 GPT-3 更具事实性，但原文未给出具体偏好比例；RT-1 可遵循 700 多条自然语言指令，但本综述没有列出统一成功率。上述结论只能按原文措辞理解，不能补算为可比较指标。</w:t>
      </w:r>
    </w:p>
    <w:p>
      <w:pPr>
        <w:pStyle w:val="Heading1"/>
        <w:keepNext/>
      </w:pPr>
      <w:r>
        <w:t>5. 研究局限与短板</w:t>
      </w:r>
    </w:p>
    <w:p>
      <w:pPr>
        <w:pStyle w:val="Heading2"/>
        <w:keepNext/>
      </w:pPr>
      <w:r>
        <w:t>综述证据缺少统一控制</w:t>
      </w:r>
    </w:p>
    <w:p>
      <w:pPr>
        <w:keepNext w:val="0"/>
      </w:pPr>
      <w:r>
        <w:rPr>
          <w:rFonts w:ascii="Calibri" w:hAnsi="Calibri" w:eastAsia="Microsoft YaHei" w:cs="Calibri"/>
        </w:rPr>
        <w:t>论文汇集的研究跨越问答、数学推理、检索、网页操作、虚拟环境和机器人控制，模型规模、数据、工具、评价指标与训练预算差异很大。除少数汇总表外，作者没有进行统一复现、消融或成本评估，因此“ALM 普遍优于常规 LM”更多是研究趋势判断，而非一套受控实验给出的总论。</w:t>
      </w:r>
    </w:p>
    <w:p>
      <w:pPr>
        <w:pStyle w:val="Heading2"/>
        <w:keepNext/>
      </w:pPr>
      <w:r>
        <w:t>推理过程不保证忠实和正确</w:t>
      </w:r>
    </w:p>
    <w:p>
      <w:pPr>
        <w:keepNext w:val="0"/>
      </w:pPr>
      <w:r>
        <w:rPr>
          <w:rFonts w:ascii="Calibri" w:hAnsi="Calibri" w:eastAsia="Microsoft YaHei" w:cs="Calibri"/>
        </w:rPr>
        <w:t>链式思维可能得到正确答案却包含不合理的中间步骤；模型是否真正依据这些步骤作出最终预测仍缺乏理解。递归分解还会累积错误，并且探索所有可能推理路径代价高、没有正确性保证。因而可读的推理轨迹不能直接当作可审计证明。</w:t>
      </w:r>
    </w:p>
    <w:p>
      <w:pPr>
        <w:pStyle w:val="Heading2"/>
        <w:keepNext/>
      </w:pPr>
      <w:r>
        <w:t>规模、提示与上下文依赖</w:t>
      </w:r>
    </w:p>
    <w:p>
      <w:pPr>
        <w:keepNext w:val="0"/>
      </w:pPr>
      <w:r>
        <w:rPr>
          <w:rFonts w:ascii="Calibri" w:hAnsi="Calibri" w:eastAsia="Microsoft YaHei" w:cs="Calibri"/>
        </w:rPr>
        <w:t>少样本 CoT 的能力往往在大模型规模下才明显；论文引用的观察指出，未经微调的成功使用通常需要 100B 以上模型，尽管 UL2 展示了 20B 模型也可实现 CoT。提示格式、示例选择与顺序都会显著影响结果，而上下文窗口又限制了可提供的演示数量。</w:t>
      </w:r>
    </w:p>
    <w:p>
      <w:pPr>
        <w:pStyle w:val="Heading2"/>
        <w:keepNext/>
      </w:pPr>
      <w:r>
        <w:t>监督和强化学习的成本</w:t>
      </w:r>
    </w:p>
    <w:p>
      <w:pPr>
        <w:keepNext w:val="0"/>
      </w:pPr>
      <w:r>
        <w:rPr>
          <w:rFonts w:ascii="Calibri" w:hAnsi="Calibri" w:eastAsia="Microsoft YaHei" w:cs="Calibri"/>
        </w:rPr>
        <w:t>监督学习依赖高质量专家轨迹，尤其在推理与行动任务中难以规模化；RL 和 RLHF 能从反馈学习，但训练可能不稳定、缓慢，奖励设计也可能只优化代理指标。自举和离线 RL 是潜在缓解路径，却仍取决于筛选规则、静态数据质量和奖励可信度。</w:t>
      </w:r>
    </w:p>
    <w:p>
      <w:pPr>
        <w:pStyle w:val="Heading2"/>
        <w:keepNext/>
      </w:pPr>
      <w:r>
        <w:t>工具并不天然提升真实性</w:t>
      </w:r>
    </w:p>
    <w:p>
      <w:pPr>
        <w:keepNext w:val="0"/>
      </w:pPr>
      <w:r>
        <w:rPr>
          <w:rFonts w:ascii="Calibri" w:hAnsi="Calibri" w:eastAsia="Microsoft YaHei" w:cs="Calibri"/>
        </w:rPr>
        <w:t>计算器输出相对确定，但检索和互联网中包含错误或冲突信息。论文明确指出，关于检索增强能否真正提升真实性的证据“出乎意料地少”。模型还需要学习何时调用、调用哪个工具，以及如何把延迟、费用和失败风险纳入决策；这些问题在论文中仍是开放方向。</w:t>
      </w:r>
    </w:p>
    <w:p>
      <w:pPr>
        <w:pStyle w:val="Heading2"/>
        <w:keepNext/>
      </w:pPr>
      <w:r>
        <w:t>长程一致性与行动安全</w:t>
      </w:r>
    </w:p>
    <w:p>
      <w:pPr>
        <w:keepNext w:val="0"/>
      </w:pPr>
      <w:r>
        <w:rPr>
          <w:rFonts w:ascii="Calibri" w:hAnsi="Calibri" w:eastAsia="Microsoft YaHei" w:cs="Calibri"/>
        </w:rPr>
        <w:t>语言模型受最大序列长度约束，跨多轮、跨子目标维持全局状态仍困难。主动工具会改变虚拟或物理世界，错误后果比被动检索更大；工具化答案也可能因“看起来有依据”而获得不应有的权威感。论文没有给出完备的权限、隔离、回滚或人类审批机制。</w:t>
      </w:r>
    </w:p>
    <w:p>
      <w:pPr>
        <w:pStyle w:val="Heading2"/>
        <w:keepNext/>
      </w:pPr>
      <w:r>
        <w:t>覆盖范围和组合能力有限</w:t>
      </w:r>
    </w:p>
    <w:p>
      <w:pPr>
        <w:keepNext w:val="0"/>
      </w:pPr>
      <w:r>
        <w:rPr>
          <w:rFonts w:ascii="Calibri" w:hAnsi="Calibri" w:eastAsia="Microsoft YaHei" w:cs="Calibri"/>
        </w:rPr>
        <w:t>作者主动缩小了范围：重点是与语言模型结合的推理和工具工作，而不是对纯推理、传统计算机控制或视觉界面智能体做完整综述。更关键的是，当时真正同时结合推理与工具的研究仍很少；Toolformer 也只在一次使用单个工具的受限设置中测试，复杂多工具协作仍未被充分验证。</w:t>
      </w:r>
    </w:p>
    <w:p>
      <w:pPr>
        <w:pStyle w:val="Heading1"/>
        <w:keepNext/>
      </w:pPr>
      <w:r>
        <w:t>6. 落地启发（重点）</w:t>
      </w:r>
    </w:p>
    <w:p>
      <w:pPr>
        <w:keepNext w:val="0"/>
      </w:pPr>
      <w:r>
        <w:rPr>
          <w:rFonts w:ascii="Calibri" w:hAnsi="Calibri" w:eastAsia="Microsoft YaHei" w:cs="Calibri"/>
        </w:rPr>
        <w:t>以下内容是面向视频帧提取、时序事件抽取、长视频检索和 Agent 工作流原型的工程映射。除明确提到的检索、推理和工具模式外，论文并未在视频数据上验证这些方案，因此必须把“论文已证明”与“可借鉴的设计思想”分开。</w:t>
      </w:r>
    </w:p>
    <w:p>
      <w:pPr>
        <w:pStyle w:val="Heading2"/>
        <w:keepNext/>
      </w:pPr>
      <w:r>
        <w:t>可直接复用的模块或流程</w:t>
      </w:r>
    </w:p>
    <w:p>
      <w:pPr>
        <w:keepNext w:val="0"/>
      </w:pPr>
      <w:r>
        <w:rPr>
          <w:rFonts w:ascii="Calibri" w:hAnsi="Calibri" w:eastAsia="Microsoft YaHei" w:cs="Calibri"/>
          <w:b/>
        </w:rPr>
        <w:t>工具化视频预处理：</w:t>
      </w:r>
      <w:r>
        <w:rPr>
          <w:rFonts w:ascii="Calibri" w:hAnsi="Calibri" w:eastAsia="Microsoft YaHei" w:cs="Calibri"/>
        </w:rPr>
        <w:t>把 FFmpeg/OpenCV 帧抽取、镜头切分、关键帧选择、OCR/ASR 和时间戳对齐封装为确定性工具。语言模型不负责逐帧计算，而负责根据任务选择工具、参数和抽样策略；工具返回结构化时间戳、文件位置、置信度和摘要，再写回 Agent 上下文。这直接对应论文中“模型分解、外部模块精确执行、结果回填”的模式。</w:t>
      </w:r>
    </w:p>
    <w:p>
      <w:pPr>
        <w:keepNext w:val="0"/>
      </w:pPr>
      <w:r>
        <w:rPr>
          <w:rFonts w:ascii="Calibri" w:hAnsi="Calibri" w:eastAsia="Microsoft YaHei" w:cs="Calibri"/>
          <w:b/>
        </w:rPr>
        <w:t>长视频的非参数记忆：</w:t>
      </w:r>
      <w:r>
        <w:rPr>
          <w:rFonts w:ascii="Calibri" w:hAnsi="Calibri" w:eastAsia="Microsoft YaHei" w:cs="Calibri"/>
        </w:rPr>
        <w:t>把镜头、事件片段、字幕段和视觉描述存入外部索引，让模型按查询检索，而不是把完整视频表示全部塞进上下文。可并行保留稀疏检索用于专有名词和字幕精确匹配、稠密检索用于语义相似，再把命中的时间段、证据帧和文本一同返回。这个设计与论文对 REALM、RAG、RETRO、Atlas 的非参数记忆讨论一致。</w:t>
      </w:r>
    </w:p>
    <w:p>
      <w:pPr>
        <w:keepNext w:val="0"/>
      </w:pPr>
      <w:r>
        <w:rPr>
          <w:rFonts w:ascii="Calibri" w:hAnsi="Calibri" w:eastAsia="Microsoft YaHei" w:cs="Calibri"/>
          <w:b/>
        </w:rPr>
        <w:t>时序事件的递归分解：</w:t>
      </w:r>
      <w:r>
        <w:rPr>
          <w:rFonts w:ascii="Calibri" w:hAnsi="Calibri" w:eastAsia="Microsoft YaHei" w:cs="Calibri"/>
        </w:rPr>
        <w:t>将“视频里发生了什么”拆成对象/角色识别、候选事件定位、前后状态比较、时间边界确认、证据复核等子任务。上一阶段的时间段和实体结果作为下一阶段输入，适合借鉴 least-to-most 与递归提示；每一步都保留原始时间戳，避免最终摘要与证据脱节。</w:t>
      </w:r>
    </w:p>
    <w:p>
      <w:pPr>
        <w:keepNext w:val="0"/>
      </w:pPr>
      <w:r>
        <w:rPr>
          <w:rFonts w:ascii="Calibri" w:hAnsi="Calibri" w:eastAsia="Microsoft YaHei" w:cs="Calibri"/>
          <w:b/>
        </w:rPr>
        <w:t>检索与推理交替：</w:t>
      </w:r>
      <w:r>
        <w:rPr>
          <w:rFonts w:ascii="Calibri" w:hAnsi="Calibri" w:eastAsia="Microsoft YaHei" w:cs="Calibri"/>
        </w:rPr>
        <w:t>长视频问答不要只做一次 top-k。可先检索粗粒度事件，再由中间推理生成更具体的二次查询，例如人物、动作、前置条件或后续结果；随后扩大或缩小时间窗复核。这是 IRCoT“检索指导推理、推理反过来指导检索”的直接工程化。</w:t>
      </w:r>
    </w:p>
    <w:p>
      <w:pPr>
        <w:keepNext w:val="0"/>
      </w:pPr>
      <w:r>
        <w:rPr>
          <w:rFonts w:ascii="Calibri" w:hAnsi="Calibri" w:eastAsia="Microsoft YaHei" w:cs="Calibri"/>
          <w:b/>
        </w:rPr>
        <w:t>受控 Agent 闭环：</w:t>
      </w:r>
      <w:r>
        <w:rPr>
          <w:rFonts w:ascii="Calibri" w:hAnsi="Calibri" w:eastAsia="Microsoft YaHei" w:cs="Calibri"/>
        </w:rPr>
        <w:t>原型可采用“计划 - 调用 - 观察 - 校验 - 输出”循环，并把工具集合限制为显式白名单。工具调用日志应记录输入参数、返回证据、耗时、错误和重试；最终答案必须引用时间戳或证据帧。这个流程比只保存自然语言思维链更接近可调试、可复现的系统。</w:t>
      </w:r>
    </w:p>
    <w:p>
      <w:pPr>
        <w:pStyle w:val="Heading2"/>
        <w:keepNext/>
      </w:pPr>
      <w:r>
        <w:t>需要二次验证后才能采用的思路</w:t>
      </w:r>
    </w:p>
    <w:p>
      <w:pPr>
        <w:keepNext w:val="0"/>
      </w:pPr>
      <w:r>
        <w:rPr>
          <w:rFonts w:ascii="Calibri" w:hAnsi="Calibri" w:eastAsia="Microsoft YaHei" w:cs="Calibri"/>
          <w:b/>
        </w:rPr>
        <w:t>由模型自主决定抽帧密度：</w:t>
      </w:r>
      <w:r>
        <w:rPr>
          <w:rFonts w:ascii="Calibri" w:hAnsi="Calibri" w:eastAsia="Microsoft YaHei" w:cs="Calibri"/>
        </w:rPr>
        <w:t>论文支持“模型学会何时调用工具”的方向，但没有验证视频采样策略。需要在不同视频类型上比较固定间隔、镜头边界、运动强度和 Agent 动态增采样，并同时衡量事件召回率、成本和延迟。</w:t>
      </w:r>
    </w:p>
    <w:p>
      <w:pPr>
        <w:keepNext w:val="0"/>
      </w:pPr>
      <w:r>
        <w:rPr>
          <w:rFonts w:ascii="Calibri" w:hAnsi="Calibri" w:eastAsia="Microsoft YaHei" w:cs="Calibri"/>
          <w:b/>
        </w:rPr>
        <w:t>用自然语言推理轨迹做事件证据：</w:t>
      </w:r>
      <w:r>
        <w:rPr>
          <w:rFonts w:ascii="Calibri" w:hAnsi="Calibri" w:eastAsia="Microsoft YaHei" w:cs="Calibri"/>
        </w:rPr>
        <w:t>CoT 有助于分解，但不保证忠实。可把轨迹用于调试和查询生成，不能把它直接视为事件发生的证明。二次验证应回到帧、字幕、检测结果和时间边界，并检查反事实或交叉模态一致性。</w:t>
      </w:r>
    </w:p>
    <w:p>
      <w:pPr>
        <w:keepNext w:val="0"/>
      </w:pPr>
      <w:r>
        <w:rPr>
          <w:rFonts w:ascii="Calibri" w:hAnsi="Calibri" w:eastAsia="Microsoft YaHei" w:cs="Calibri"/>
          <w:b/>
        </w:rPr>
        <w:t>自举生成训练轨迹：</w:t>
      </w:r>
      <w:r>
        <w:rPr>
          <w:rFonts w:ascii="Calibri" w:hAnsi="Calibri" w:eastAsia="Microsoft YaHei" w:cs="Calibri"/>
        </w:rPr>
        <w:t>可以让大模型批量生成“查询 - 工具调用 - 事件答案”轨迹，再只保留能被规则或标注结果验证的样本，用于微调较小模型。但视频任务的正确性往往不是单个答案匹配，需要设计覆盖时间重叠、实体一致性、因果顺序和证据完整性的过滤器。</w:t>
      </w:r>
    </w:p>
    <w:p>
      <w:pPr>
        <w:keepNext w:val="0"/>
      </w:pPr>
      <w:r>
        <w:rPr>
          <w:rFonts w:ascii="Calibri" w:hAnsi="Calibri" w:eastAsia="Microsoft YaHei" w:cs="Calibri"/>
          <w:b/>
        </w:rPr>
        <w:t>强化学习优化工具策略：</w:t>
      </w:r>
      <w:r>
        <w:rPr>
          <w:rFonts w:ascii="Calibri" w:hAnsi="Calibri" w:eastAsia="Microsoft YaHei" w:cs="Calibri"/>
        </w:rPr>
        <w:t>只有在成功条件和代价可测量时才值得尝试，例如事件定位 IoU、证据命中率、调用次数和总延迟的组合奖励。论文已指出 RL 的不稳定性；原型阶段更适合先用规则和离线轨迹建立基线，再评估 RL 是否带来净收益。</w:t>
      </w:r>
    </w:p>
    <w:p>
      <w:pPr>
        <w:pStyle w:val="Heading2"/>
        <w:keepNext/>
      </w:pPr>
      <w:r>
        <w:t>当前不适合落地或风险较高的部分</w:t>
      </w:r>
    </w:p>
    <w:p>
      <w:pPr>
        <w:keepNext w:val="0"/>
      </w:pPr>
      <w:r>
        <w:rPr>
          <w:rFonts w:ascii="Calibri" w:hAnsi="Calibri" w:eastAsia="Microsoft YaHei" w:cs="Calibri"/>
          <w:b/>
        </w:rPr>
        <w:t>无约束的多工具自主执行：</w:t>
      </w:r>
      <w:r>
        <w:rPr>
          <w:rFonts w:ascii="Calibri" w:hAnsi="Calibri" w:eastAsia="Microsoft YaHei" w:cs="Calibri"/>
        </w:rPr>
        <w:t>原文强调复杂多工具使用尚未充分验证。现阶段不应让 Agent 任意执行文件操作、外部发布或不可逆动作；至少需要权限分级、参数校验、沙箱、调用预算、超时、幂等设计和人工确认。</w:t>
      </w:r>
    </w:p>
    <w:p>
      <w:pPr>
        <w:keepNext w:val="0"/>
      </w:pPr>
      <w:r>
        <w:rPr>
          <w:rFonts w:ascii="Calibri" w:hAnsi="Calibri" w:eastAsia="Microsoft YaHei" w:cs="Calibri"/>
          <w:b/>
        </w:rPr>
        <w:t>把完整长视频直接交给单一模型：</w:t>
      </w:r>
      <w:r>
        <w:rPr>
          <w:rFonts w:ascii="Calibri" w:hAnsi="Calibri" w:eastAsia="Microsoft YaHei" w:cs="Calibri"/>
        </w:rPr>
        <w:t>这会放大上下文、成本和全局一致性问题，也违背论文强调的非参数外部记忆思路。更稳妥的路线是分层索引：视频 - 章节 - 镜头 - 事件 - 证据帧，并允许按需回看原始片段。</w:t>
      </w:r>
    </w:p>
    <w:p>
      <w:pPr>
        <w:keepNext w:val="0"/>
      </w:pPr>
      <w:r>
        <w:rPr>
          <w:rFonts w:ascii="Calibri" w:hAnsi="Calibri" w:eastAsia="Microsoft YaHei" w:cs="Calibri"/>
          <w:b/>
        </w:rPr>
        <w:t>把工具输出视为天然真值：</w:t>
      </w:r>
      <w:r>
        <w:rPr>
          <w:rFonts w:ascii="Calibri" w:hAnsi="Calibri" w:eastAsia="Microsoft YaHei" w:cs="Calibri"/>
        </w:rPr>
        <w:t>ASR、OCR、检测器、向量检索和网页信息都会出错。系统应记录来源、版本和置信度，对关键事件进行多证据验证；证据不足时应拒答或标注不确定性。</w:t>
      </w:r>
    </w:p>
    <w:p>
      <w:pPr>
        <w:pStyle w:val="Heading2"/>
        <w:keepNext/>
      </w:pPr>
      <w:r>
        <w:t>建议的最小可行原型</w:t>
      </w:r>
    </w:p>
    <w:p>
      <w:pPr>
        <w:keepNext w:val="0"/>
      </w:pPr>
      <w:r>
        <w:rPr>
          <w:rFonts w:ascii="Calibri" w:hAnsi="Calibri" w:eastAsia="Microsoft YaHei" w:cs="Calibri"/>
        </w:rPr>
        <w:t>建议先做只读、可回放的长视频事件检索 Agent：离线建立镜头、关键帧/字幕和多粒度索引；在线把问题拆成检索子任务，调用混合检索，并对候选时间窗按需增采样，最终输出带时间戳和证据帧的答案。第一版不做 RL 或外部写操作；用固定测试集评估事件召回、时间边界、证据一致性、工具次数和延迟。该范围能复用论文中的成熟模块，并把自主性和安全风险留在原型之外。</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b/>
        <w:color w:val="5B6573"/>
        <w:sz w:val="17"/>
      </w:rPr>
      <w:t xml:space="preserve">PAGE  </w:t>
    </w:r>
    <w:r>
      <w:rPr>
        <w:rFonts w:ascii="Calibri" w:hAnsi="Calibri" w:eastAsia="Microsoft YaHei" w:cs="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s="Calibri"/>
        <w:color w:val="5B6573"/>
        <w:sz w:val="18"/>
      </w:rPr>
      <w:t>Augmented Language Models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Microsoft YaHei" w:cs="Calibr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line="240" w:lineRule="auto"/>
    </w:pPr>
    <w:rPr>
      <w:rFonts w:ascii="Calibri" w:hAnsi="Calibri" w:eastAsia="Microsoft YaHei" w:cs="Calibri"/>
      <w:b w:val="0"/>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Augmented Language Models: a Survey - Technical Report</dc:title>
  <dc:subject>Chinese deep technical report based on arXiv:2302.07842v1</dc:subject>
  <dc:creator/>
  <cp:keywords>Augmented Language Models, ALM, reasoning, tools, agents</cp:keywords>
  <dc:description>generated by python-docx</dc:description>
  <cp:lastModifiedBy/>
  <cp:revision>1</cp:revision>
  <dcterms:created xsi:type="dcterms:W3CDTF">2013-12-23T23:15:00Z</dcterms:created>
  <dcterms:modified xsi:type="dcterms:W3CDTF">2013-12-23T23:15:00Z</dcterms:modified>
  <cp:category/>
</cp:coreProperties>
</file>