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</w:pPr>
      <w:r>
        <w:rPr>
          <w:rFonts w:ascii="Calibri" w:hAnsi="Calibri" w:eastAsia="Microsoft YaHei"/>
          <w:b/>
          <w:color w:val="212A33"/>
          <w:sz w:val="46"/>
        </w:rPr>
        <w:t>大语言模型自主智能体综述</w:t>
      </w:r>
    </w:p>
    <w:p>
      <w:pPr>
        <w:spacing w:after="280"/>
      </w:pPr>
      <w:r>
        <w:rPr>
          <w:rFonts w:ascii="Calibri" w:hAnsi="Calibri" w:eastAsia="Microsoft YaHei"/>
          <w:color w:val="666F78"/>
          <w:sz w:val="26"/>
        </w:rPr>
        <w:t>《A Survey on Large Language Model based Autonomous Agents》深度技术报告</w:t>
      </w:r>
    </w:p>
    <w:p>
      <w:pPr>
        <w:spacing w:after="60" w:line="252" w:lineRule="auto"/>
      </w:pPr>
      <w:r>
        <w:rPr>
          <w:rFonts w:ascii="Calibri" w:hAnsi="Calibri" w:eastAsia="Microsoft YaHei"/>
          <w:b/>
          <w:color w:val="212A33"/>
          <w:sz w:val="20"/>
        </w:rPr>
        <w:t>论文类型：</w:t>
      </w:r>
      <w:r>
        <w:rPr>
          <w:rFonts w:ascii="Calibri" w:hAnsi="Calibri" w:eastAsia="Microsoft YaHei"/>
          <w:color w:val="212A33"/>
          <w:sz w:val="20"/>
        </w:rPr>
        <w:t>综述论文（Review Article）</w:t>
      </w:r>
    </w:p>
    <w:p>
      <w:pPr>
        <w:spacing w:after="60" w:line="252" w:lineRule="auto"/>
      </w:pPr>
      <w:r>
        <w:rPr>
          <w:rFonts w:ascii="Calibri" w:hAnsi="Calibri" w:eastAsia="Microsoft YaHei"/>
          <w:b/>
          <w:color w:val="212A33"/>
          <w:sz w:val="20"/>
        </w:rPr>
        <w:t>作者：</w:t>
      </w:r>
      <w:r>
        <w:rPr>
          <w:rFonts w:ascii="Calibri" w:hAnsi="Calibri" w:eastAsia="Microsoft YaHei"/>
          <w:color w:val="212A33"/>
          <w:sz w:val="20"/>
        </w:rPr>
        <w:t>Lei Wang, Chen Ma, Xueyang Feng, Zeyu Zhang, Hao Yang, Jingsen Zhang, Zhi-Yuan Chen, Jiakai Tang, Xu Chen, Yankai Lin, Wayne Xin Zhao, Zhewei Wei, Ji-Rong Wen</w:t>
      </w:r>
    </w:p>
    <w:p>
      <w:pPr>
        <w:spacing w:after="60" w:line="252" w:lineRule="auto"/>
      </w:pPr>
      <w:r>
        <w:rPr>
          <w:rFonts w:ascii="Calibri" w:hAnsi="Calibri" w:eastAsia="Microsoft YaHei"/>
          <w:b/>
          <w:color w:val="212A33"/>
          <w:sz w:val="20"/>
        </w:rPr>
        <w:t>发表信息：</w:t>
      </w:r>
      <w:r>
        <w:rPr>
          <w:rFonts w:ascii="Calibri" w:hAnsi="Calibri" w:eastAsia="Microsoft YaHei"/>
          <w:color w:val="212A33"/>
          <w:sz w:val="20"/>
        </w:rPr>
        <w:t>Frontiers of Computer Science, 2025, 0(0): 1-42</w:t>
      </w:r>
    </w:p>
    <w:p>
      <w:pPr>
        <w:spacing w:after="60" w:line="252" w:lineRule="auto"/>
      </w:pPr>
      <w:r>
        <w:rPr>
          <w:rFonts w:ascii="Calibri" w:hAnsi="Calibri" w:eastAsia="Microsoft YaHei"/>
          <w:b/>
          <w:color w:val="212A33"/>
          <w:sz w:val="20"/>
        </w:rPr>
        <w:t>索引信息：</w:t>
      </w:r>
      <w:r>
        <w:rPr>
          <w:rFonts w:ascii="Calibri" w:hAnsi="Calibri" w:eastAsia="Microsoft YaHei"/>
          <w:color w:val="212A33"/>
          <w:sz w:val="20"/>
        </w:rPr>
        <w:t>arXiv:2308.11432v7 [cs.AI], 2025-03-02；DOI: 10.1007/s11704-024-40231-1</w:t>
      </w:r>
    </w:p>
    <w:p>
      <w:pPr>
        <w:spacing w:after="60" w:line="252" w:lineRule="auto"/>
      </w:pPr>
      <w:r>
        <w:rPr>
          <w:rFonts w:ascii="Calibri" w:hAnsi="Calibri" w:eastAsia="Microsoft YaHei"/>
          <w:b/>
          <w:color w:val="212A33"/>
          <w:sz w:val="20"/>
        </w:rPr>
        <w:t>研究问题：</w:t>
      </w:r>
      <w:r>
        <w:rPr>
          <w:rFonts w:ascii="Calibri" w:hAnsi="Calibri" w:eastAsia="Microsoft YaHei"/>
          <w:color w:val="212A33"/>
          <w:sz w:val="20"/>
        </w:rPr>
        <w:t>如何从架构构造、能力获取、应用与评测四个层面，形成可统一描述 LLM 自主智能体研究的知识框架。</w:t>
      </w:r>
    </w:p>
    <w:p>
      <w:pPr>
        <w:spacing w:before="160" w:after="200"/>
        <w:pBdr>
          <w:bottom w:val="single" w:sz="10" w:space="4" w:color="2E74B5"/>
        </w:pBdr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5"/>
          <w:left w:val="single" w:sz="6" w:space="0" w:color="D9DEE5"/>
          <w:bottom w:val="single" w:sz="6" w:space="0" w:color="D9DEE5"/>
          <w:right w:val="single" w:sz="6" w:space="0" w:color="D9DEE5"/>
          <w:insideH w:val="single" w:sz="6" w:space="0" w:color="D9DEE5"/>
          <w:insideV w:val="single" w:sz="6" w:space="0" w:color="D9DEE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64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阅读结论：</w:t>
            </w:r>
            <w:r>
              <w:rPr>
                <w:rFonts w:ascii="Calibri" w:hAnsi="Calibri" w:eastAsia="Microsoft YaHei"/>
                <w:color w:val="212A33"/>
                <w:sz w:val="21"/>
              </w:rPr>
              <w:t>这篇论文的核心价值是建立自主智能体的统一分类框架，而不是提出一个新模型。它把分散的 Agent 研究整理为“角色设定、记忆、规划、行动”四模块，并把能力获取、应用和评测纳入同一张技术地图。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研究背景与行业痛点</w:t>
      </w:r>
    </w:p>
    <w:p>
      <w:pPr>
        <w:pStyle w:val="Heading2"/>
      </w:pPr>
      <w:r>
        <w:t>问题为何值得研究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传统自主智能体常依赖简单或启发式策略，并在隔离、受限的环境中学习。这与人类能够从广泛环境持续吸收知识、在开放场景中做决策的过程存在明显差距，因此旧式智能体很难复现接近人类的决策能力。论文认为，LLM 通过大规模网络语料和参数形成更丰富的内部世界知识，为无需特定领域训练也能执行一定任务、通过自然语言与人交互提供了新的基础。该表述是研究动因，不等同于论文证明 LLM 已达到通用人类智能。</w:t>
      </w:r>
    </w:p>
    <w:p>
      <w:pPr>
        <w:pStyle w:val="Heading2"/>
      </w:pPr>
      <w:r>
        <w:t>现有研究的结构性缺口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论文观察到，大量早期工作分别在记忆、规划、工具调用、角色模拟或多智能体协作上提出方案，但缺少能够横向比较这些系统的统一视角。单纯把 LLM 当作问答模型也不足以构成自主智能体：智能体还需要承担角色、感知动态环境、记住历史、规划未来、执行动作并根据结果修正行为。旧方案的主要缺口因此不是某个单点模块，而是缺乏从架构到能力获取、再到应用与评测的完整组织框架。</w:t>
      </w:r>
    </w:p>
    <w:p>
      <w:pPr>
        <w:pStyle w:val="Heading2"/>
      </w:pPr>
      <w:r>
        <w:t>论文试图补上的能力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作者围绕三个主轴组织综述：智能体构造、智能体应用和智能体评测。在构造层面又拆成“架构设计”和“能力获取”两个问题：前者类似确定系统硬件骨架，后者类似为系统补充任务所需的软件资源。论文进一步把应用归纳为社会科学、自然科学和工程，把评测归纳为主观与客观两类，从而建立一套可用于阅读、设计和比较 Agent 系统的共同语言。</w:t>
      </w:r>
    </w:p>
    <w:p>
      <w:pPr>
        <w:pStyle w:val="Heading1"/>
      </w:pPr>
      <w:r>
        <w:t>2. 核心创新亮点</w:t>
      </w:r>
    </w:p>
    <w:p>
      <w:pPr>
        <w:pStyle w:val="Heading2"/>
      </w:pPr>
      <w:r>
        <w:t>【理论创新】知识组织与统一分类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论文没有提出新的学习理论、损失函数、推理算法或可验证定理。它的学术贡献主要是知识组织：将 Agent 构造统一为角色设定（Profile）、记忆（Memory）、规划（Planning）和行动（Action）四个模块，并解释模块之间的依赖关系。角色设定影响记忆与规划，前三者共同决定行动；行动再与环境交互，形成动态闭环。这个框架把过去按项目零散出现的设计选择放入可比较的坐标系。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第二项分类贡献是把能力获取区分为“需要微调”和“不需要微调”。前者可使用人工标注、LLM 生成或真实世界数据；后者包括提示工程和机制工程。机制工程又覆盖试错、群体协作、经验积累和自驱动演化。该划分的重要性在于，它把 Agent 能力来源从单一参数学习扩展到参数、提示和工作机制三个层次。</w:t>
      </w:r>
    </w:p>
    <w:p>
      <w:pPr>
        <w:pStyle w:val="Heading2"/>
      </w:pPr>
      <w:r>
        <w:t>【工程落地创新】模块化设计清单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论文用表格把代表性工作映射到四模块、微调策略、应用类别和评测方式，为工程团队提供了一张“选型清单”。例如，记忆不只分短期与长期，还可继续从存储格式、读写和反思操作拆解；规划不只分单路径与多路径，还要考虑是否接入环境、人类或模型反馈；行动不只生成文本，还包括 API、数据库、知识库和外部模型调用。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需要严格界定：这些内容是对既有工作的系统化抽象，不是一个可直接部署的新 Agent 平台，也不是论文通过对照实验验证出的最优架构。普通的模块替换或提示调参没有被包装为新算法；论文真正提供的是设计空间、术语体系和工程检查点。</w:t>
      </w:r>
    </w:p>
    <w:p>
      <w:pPr>
        <w:pStyle w:val="Heading1"/>
      </w:pPr>
      <w:r>
        <w:t>3. 方法架构通俗拆解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5"/>
          <w:left w:val="single" w:sz="6" w:space="0" w:color="D9DEE5"/>
          <w:bottom w:val="single" w:sz="6" w:space="0" w:color="D9DEE5"/>
          <w:right w:val="single" w:sz="6" w:space="0" w:color="D9DEE5"/>
          <w:insideH w:val="single" w:sz="6" w:space="0" w:color="D9DEE5"/>
          <w:insideV w:val="single" w:sz="6" w:space="0" w:color="D9DEE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64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整体链路：</w:t>
            </w:r>
            <w:r>
              <w:rPr>
                <w:rFonts w:ascii="Calibri" w:hAnsi="Calibri" w:eastAsia="Microsoft YaHei"/>
                <w:color w:val="212A33"/>
                <w:sz w:val="21"/>
              </w:rPr>
              <w:t>角色设定定义“谁在做事、遵守什么边界”；记忆保存“看过什么、做过什么”；规划决定“下一步怎么做”；行动把计划转换为文本、工具调用或环境操作。环境返回结果后，再更新记忆并触发后续规划。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角色设定模块：固定身份与行为边界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角色信息可包含人口统计、人格心理和社会关系。论文总结三种生成方式：人工编写最灵活、可控，但大规模构造成本高；由 LLM 扩展种子角色效率高，但可能偏离预期；对齐真实数据集能更贴近真实人群，但受数据覆盖和表达方式限制。角色描述通常写入提示词，并持续影响后续记忆、规划和行动。</w:t>
      </w:r>
    </w:p>
    <w:p>
      <w:pPr>
        <w:pStyle w:val="Heading2"/>
      </w:pPr>
      <w:r>
        <w:t>记忆模块：从上下文窗口到可检索经验库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统一记忆主要依赖上下文内的短期信息，容易实现，但受上下文窗口限制。混合记忆同时保留近期状态和外部长时存储：近期观察放在短期缓冲区，历史行为、经验或知识以向量库等形式保存，需要时再检索。论文认为，混合记忆更适合长程推理与经验积累，但并未通过统一实验给出其相对收益。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记忆可用自然语言、向量、数据库或结构化列表保存，这些格式并不互斥。读操作常综合新近性、相关性和重要性；写操作要处理重复信息合并与容量溢出；反思操作把低层轨迹压缩为高层经验。直观地说，Agent 不应把全部历史原样塞回提示词，而应先筛选、再压缩、最后保留可追溯的关键证据。</w:t>
      </w:r>
    </w:p>
    <w:p>
      <w:pPr>
        <w:pStyle w:val="Heading2"/>
      </w:pPr>
      <w:r>
        <w:t>规划模块：先分解任务，再用反馈修正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无反馈规划包括单路径推理、多路径推理和外部规划器。单路径方法沿一条推理链推进，结构简单；多路径方法生成多个候选，再用投票、搜索或模型评估选择；外部规划器把 LLM 擅长的自然语言理解与 PDDL、搜索算法或低层控制器结合，适合领域约束更强的任务。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有反馈规划把环境结果、人类意见或模型自评放回循环。ReAct 的核心形式是“思考-行动-观察”，后续计划受上一轮观察影响；其他工作还使用执行错误、成功/失败信号、场景描述或详细语言反馈。论文的归纳是：无反馈方案实现简单，更适合步骤较少的任务；带反馈方案设计更复杂，但更能处理长链任务和不可预测的环境变化。</w:t>
      </w:r>
    </w:p>
    <w:p>
      <w:pPr>
        <w:pStyle w:val="Heading2"/>
      </w:pPr>
      <w:r>
        <w:t>行动模块：把决策落到可验证输出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行动模块从四个角度描述：目标、产生方式、行动空间和影响。目标可以是完成任务、与人或其他 Agent 通信、探索未知环境；行动可由记忆召回驱动，也可按计划逐步执行；行动空间既可以调用 API、数据库、知识库和外部模型，也可以依赖 LLM 内部的规划、对话和常识能力；行动结果可能改变环境、更新内部状态或触发新的行动。</w:t>
      </w:r>
    </w:p>
    <w:p>
      <w:pPr>
        <w:pStyle w:val="Heading2"/>
      </w:pPr>
      <w:r>
        <w:t>能力获取：参数、提示与机制三条路径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微调路径适合把大量任务知识写入模型参数，但通常要求可训练的开源模型和高质量数据。无微调路径可用于开源或闭源模型，通过提示工程显式描述能力，通过机制工程让 Agent 在试错、协作、经验积累和自驱学习中逐步改善。论文同时提醒：提示与机制的设计空间很大，难以保证找到最优组合；上下文窗口也限制了能够注入的任务信息量。</w:t>
      </w:r>
    </w:p>
    <w:p>
      <w:pPr>
        <w:pStyle w:val="Heading1"/>
      </w:pPr>
      <w:r>
        <w:t>4. 实验配置与效果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5"/>
          <w:left w:val="single" w:sz="6" w:space="0" w:color="D9DEE5"/>
          <w:bottom w:val="single" w:sz="6" w:space="0" w:color="D9DEE5"/>
          <w:right w:val="single" w:sz="6" w:space="0" w:color="D9DEE5"/>
          <w:insideH w:val="single" w:sz="6" w:space="0" w:color="D9DEE5"/>
          <w:insideV w:val="single" w:sz="6" w:space="0" w:color="D9DEE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64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证据边界：</w:t>
            </w:r>
            <w:r>
              <w:rPr>
                <w:rFonts w:ascii="Calibri" w:hAnsi="Calibri" w:eastAsia="Microsoft YaHei"/>
                <w:color w:val="212A33"/>
                <w:sz w:val="21"/>
              </w:rPr>
              <w:t>这是一篇综述，不是提出新模型的实验论文。原文没有作者自建训练集、统一基线、消融实验、显著性检验或一组可复现的性能提升数字。因此不能把被综述工作的结果当成本文方法的实验成绩。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评测框架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主观评测包括人类直接打分或排序，以及让评估者区分人类与 Agent 输出的图灵测试。它适合评估智能程度、友好性和人类相似度，但成本高、效率低，还会受评估人群偏差影响。论文也介绍了用单个或多个 LLM 作为评估者的做法，但只是将其视为可能缓解成本问题的方向，并未证明它可以替代人类评估。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客观评测由指标、协议和基准三层组成。指标包括任务成功率、奖励或得分、覆盖率、准确率或错误率、人类相似度，以及开发成本和训练效率。协议包括真实世界仿真、社会能力评测、多任务评测和软件测试。论文明确指出，现有客观技术不能完美覆盖全部 Agent 能力，实践中应与主观评测结合。</w:t>
      </w:r>
    </w:p>
    <w:p>
      <w:pPr>
        <w:pStyle w:val="Heading2"/>
      </w:pPr>
      <w:r>
        <w:t>原文列举的代表性规模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5"/>
          <w:left w:val="single" w:sz="6" w:space="0" w:color="D9DEE5"/>
          <w:bottom w:val="single" w:sz="6" w:space="0" w:color="D9DEE5"/>
          <w:right w:val="single" w:sz="6" w:space="0" w:color="D9DEE5"/>
          <w:insideH w:val="single" w:sz="6" w:space="0" w:color="D9DEE5"/>
          <w:insideV w:val="single" w:sz="6" w:space="0" w:color="D9DEE5"/>
        </w:tblBorders>
      </w:tblPr>
      <w:tblGrid>
        <w:gridCol w:w="1500"/>
        <w:gridCol w:w="2220"/>
        <w:gridCol w:w="2460"/>
        <w:gridCol w:w="318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Microsoft YaHei"/>
                <w:b/>
                <w:color w:val="212A33"/>
                <w:sz w:val="18"/>
              </w:rPr>
              <w:t>案例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Microsoft YaHei"/>
                <w:b/>
                <w:color w:val="212A33"/>
                <w:sz w:val="18"/>
              </w:rPr>
              <w:t>原文给出的规模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Microsoft YaHei"/>
                <w:b/>
                <w:color w:val="212A33"/>
                <w:sz w:val="18"/>
              </w:rPr>
              <w:t>评测或数据用途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Microsoft YaHei"/>
                <w:b/>
                <w:color w:val="212A33"/>
                <w:sz w:val="18"/>
              </w:rPr>
              <w:t>证据边界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212A33"/>
                <w:sz w:val="18"/>
              </w:rPr>
              <w:t>人类标注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25 个问题、5 个能力维度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Generative Agents 的主观评测示例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论文仅转述其设计；未给出本综述的复现实验。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212A33"/>
                <w:sz w:val="18"/>
              </w:rPr>
              <w:t>ToolBench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16,464 个真实 RESTful API；49 类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单工具与多工具调用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综述称微调后工具使用显著改善，但未列出具体提升数值。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212A33"/>
                <w:sz w:val="18"/>
              </w:rPr>
              <w:t>MIND2WEB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超过 2,000 个任务；137 个网站；31 个领域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真实网页交互与泛化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作为真实世界数据微调案例；无统一复现实验。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212A33"/>
                <w:sz w:val="18"/>
              </w:rPr>
              <w:t>WebShop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118 万个真实商品；13 名工作者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商品搜索、检索与购物交互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提供仿真网站与行为数据；综述不报告新的对比结果。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212A33"/>
                <w:sz w:val="18"/>
              </w:rPr>
              <w:t>SocKET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58 个任务；5 类社会信息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幽默、情绪、可信度等社会能力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用于说明多任务与社会能力评测的覆盖面。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212A33"/>
                <w:sz w:val="18"/>
              </w:rPr>
              <w:t>EmotionBench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超过 400 个情境；8 类负面情绪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情绪评估能力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比较模型与人类自陈量表；综述未给出聚合性能值。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212A33"/>
                <w:sz w:val="18"/>
              </w:rPr>
              <w:t>PEB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13 个测试目标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渗透测试智能体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rFonts w:ascii="Calibri" w:hAnsi="Calibri" w:eastAsia="Microsoft YaHei"/>
                <w:b w:val="0"/>
                <w:color w:val="212A33"/>
                <w:sz w:val="18"/>
              </w:rPr>
              <w:t>按不同难度评估真实挑战；无本论文新增指标。</w:t>
            </w:r>
          </w:p>
        </w:tc>
      </w:tr>
    </w:tbl>
    <w:p>
      <w:pPr>
        <w:spacing w:before="80" w:after="80"/>
      </w:pPr>
      <w:r>
        <w:rPr>
          <w:rFonts w:ascii="Calibri" w:hAnsi="Calibri" w:eastAsia="Microsoft YaHei"/>
          <w:i/>
          <w:color w:val="666F78"/>
          <w:sz w:val="18"/>
        </w:rPr>
        <w:t>数据来源：论文第 18、28-30 页。表中规模均为原文对既有工作的转述，不是本综述作者新采集或新测试的数据。</w:t>
      </w:r>
    </w:p>
    <w:p>
      <w:pPr>
        <w:pStyle w:val="Heading2"/>
      </w:pPr>
      <w:r>
        <w:t>效果应该怎样解读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论文对若干被引工作使用了“显著改善”“更高质量”等概括性表述，但没有在统一实验环境下重跑这些系统，也没有给出可跨任务直接比较的汇总分数。可以确认的是：该领域已经形成覆盖工具使用、网页交互、社会能力、情绪和安全等方向的多种基准；不能确认的是：四模块框架中的某一种组合在所有任务上更优，或某种能力获取策略具有稳定的通用增益。</w:t>
      </w:r>
    </w:p>
    <w:p>
      <w:pPr>
        <w:pStyle w:val="Heading1"/>
      </w:pPr>
      <w:r>
        <w:t>5. 研究局限与短板</w:t>
      </w:r>
    </w:p>
    <w:p>
      <w:pPr>
        <w:pStyle w:val="Heading2"/>
      </w:pPr>
      <w:r>
        <w:t>综述方法本身的限制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论文称汇集了 100 项相关工作，但原文没有给出可复现的检索式、数据库范围、筛选与排除流程、重复研究处理方式或文献质量评分。因此，它更接近专家驱动的叙述性综述，而不是严格的系统综述或元分析。分类框架能帮助理解设计空间，却不能据此推导各模块的因果贡献。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版本首页标注为 2025 年，但增长趋势图和三张主表的时间轴主要止于 2023 年 8 月。由此可以推断，核心比较对 2024 年以后快速变化的工具调用、多模态 Agent、长上下文与评测实践覆盖有限。这是根据论文呈现时间范围作出的审阅判断，不是作者在 limitation 小节中的自述。</w:t>
      </w:r>
    </w:p>
    <w:p>
      <w:pPr>
        <w:pStyle w:val="Heading2"/>
      </w:pPr>
      <w:r>
        <w:t>实验与比较的边界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论文没有统一复现环境、统一模型底座、统一成本口径和消融实验。不同工作使用的任务、模型、提示、工具、数据和评测标准差异很大，因此表格中的分类关系只能说明“使用了什么”，不能说明“为什么有效”或“哪种组合最优”。主观评测存在成本、效率和人群偏差；客观指标又无法完整覆盖智能、可信度和用户体验。</w:t>
      </w:r>
    </w:p>
    <w:p>
      <w:pPr>
        <w:pStyle w:val="Heading2"/>
      </w:pPr>
      <w:r>
        <w:t>论文明确提出的六类技术挑战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角色扮演能力：</w:t>
      </w:r>
      <w:r>
        <w:rPr>
          <w:rFonts w:ascii="Calibri" w:hAnsi="Calibri" w:eastAsia="Microsoft YaHei"/>
          <w:i w:val="0"/>
          <w:color w:val="212A33"/>
          <w:sz w:val="22"/>
        </w:rPr>
        <w:t>LLM 对常见角色较熟悉，但对网络中少见或新出现的角色、以及人的认知心理特征模拟不足；角色微调还可能损害常见角色表现。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广义人类对齐：</w:t>
      </w:r>
      <w:r>
        <w:rPr>
          <w:rFonts w:ascii="Calibri" w:hAnsi="Calibri" w:eastAsia="Microsoft YaHei"/>
          <w:i w:val="0"/>
          <w:color w:val="212A33"/>
          <w:sz w:val="22"/>
        </w:rPr>
        <w:t>面向服务的安全对齐与面向社会仿真的多样价值重现之间存在张力。论文提出“广义人类对齐”问题，但没有给出成熟解决方案。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提示鲁棒性：</w:t>
      </w:r>
      <w:r>
        <w:rPr>
          <w:rFonts w:ascii="Calibri" w:hAnsi="Calibri" w:eastAsia="Microsoft YaHei"/>
          <w:i w:val="0"/>
          <w:color w:val="212A33"/>
          <w:sz w:val="22"/>
        </w:rPr>
        <w:t>Agent 不是一个提示词，而是跨模块的提示框架。细微改动可能改变结果，不同 LLM 上还会出现明显迁移差异。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幻觉：</w:t>
      </w:r>
      <w:r>
        <w:rPr>
          <w:rFonts w:ascii="Calibri" w:hAnsi="Calibri" w:eastAsia="Microsoft YaHei"/>
          <w:i w:val="0"/>
          <w:color w:val="212A33"/>
          <w:sz w:val="22"/>
        </w:rPr>
        <w:t>Agent 可能以高置信度输出虚假信息，并在代码、安全或实验场景放大后果。论文把人类纠错反馈视为可行缓解手段，而非彻底解决。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知识边界：</w:t>
      </w:r>
      <w:r>
        <w:rPr>
          <w:rFonts w:ascii="Calibri" w:hAnsi="Calibri" w:eastAsia="Microsoft YaHei"/>
          <w:i w:val="0"/>
          <w:color w:val="212A33"/>
          <w:sz w:val="22"/>
        </w:rPr>
        <w:t>用于模拟普通人的 LLM 可能知道得过多，从而借用被模拟对象本不应掌握的知识，破坏行为可信度。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效率：</w:t>
      </w:r>
      <w:r>
        <w:rPr>
          <w:rFonts w:ascii="Calibri" w:hAnsi="Calibri" w:eastAsia="Microsoft YaHei"/>
          <w:i w:val="0"/>
          <w:color w:val="212A33"/>
          <w:sz w:val="22"/>
        </w:rPr>
        <w:t>记忆检索、规划与行动每一步都可能多次调用自回归模型，推理时延和成本会沿任务链累积。</w:t>
      </w:r>
    </w:p>
    <w:p>
      <w:pPr>
        <w:pStyle w:val="Heading2"/>
      </w:pPr>
      <w:r>
        <w:t>现实风险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论文在应用章节特别提醒：错误回答可能导致错误结论、实验失败，甚至在危险实验中危及人身安全；Agent 也可能被用于恶意目的。因而论文提供的是技术地图，不是生产可用性或安全性的证明。任何高风险行动仍需要领域专家、权限控制和人工确认。</w:t>
      </w:r>
    </w:p>
    <w:p>
      <w:pPr>
        <w:pStyle w:val="Heading1"/>
      </w:pPr>
      <w:r>
        <w:t>6. 落地启发（重点）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EE5"/>
          <w:left w:val="single" w:sz="6" w:space="0" w:color="D9DEE5"/>
          <w:bottom w:val="single" w:sz="6" w:space="0" w:color="D9DEE5"/>
          <w:right w:val="single" w:sz="6" w:space="0" w:color="D9DEE5"/>
          <w:insideH w:val="single" w:sz="6" w:space="0" w:color="D9DEE5"/>
          <w:insideV w:val="single" w:sz="6" w:space="0" w:color="D9DEE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64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适用范围：</w:t>
            </w:r>
            <w:r>
              <w:rPr>
                <w:rFonts w:ascii="Calibri" w:hAnsi="Calibri" w:eastAsia="Microsoft YaHei"/>
                <w:color w:val="212A33"/>
                <w:sz w:val="21"/>
              </w:rPr>
              <w:t>以下内容是把论文的一般 Agent 分类映射到视频帧提取、时序事件抽取、长视频检索和 Agent 工作流原型的工程启发。论文没有直接在视频任务上验证这些方案，因此必须把“可复用架构”与“已证明效果”分开。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可直接复用的模块或流程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四模块工作流：</w:t>
      </w:r>
      <w:r>
        <w:rPr>
          <w:rFonts w:ascii="Calibri" w:hAnsi="Calibri" w:eastAsia="Microsoft YaHei"/>
          <w:i w:val="0"/>
          <w:color w:val="212A33"/>
          <w:sz w:val="22"/>
        </w:rPr>
        <w:t>把四模块作为原型骨架。Profile 保存任务定义、视频类型、允许调用的工具、输出格式和安全边界；Memory 保存带时间戳的观察与事件卡片；Planning 将用户问题拆成对象、动作、主体、时间范围和证据需求；Action 调用抽帧、ASR、OCR、目标检测、跟踪、向量检索和片段导出工具。这里直接复用的是职责边界和信息流，不是某个具体模型。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分层时序记忆：</w:t>
      </w:r>
      <w:r>
        <w:rPr>
          <w:rFonts w:ascii="Calibri" w:hAnsi="Calibri" w:eastAsia="Microsoft YaHei"/>
          <w:i w:val="0"/>
          <w:color w:val="212A33"/>
          <w:sz w:val="22"/>
        </w:rPr>
        <w:t>短期记忆保留相邻帧、最近若干秒的检测结果和当前事件候选，避免单帧误判；长期记忆保存事件摘要、开始与结束时间、关键帧、人物或物体标签、文本证据和向量表示。长视频检索时先召回事件卡片，再回到源帧或源片段复核。该设计对应论文的混合记忆思想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可追溯检索：</w:t>
      </w:r>
      <w:r>
        <w:rPr>
          <w:rFonts w:ascii="Calibri" w:hAnsi="Calibri" w:eastAsia="Microsoft YaHei"/>
          <w:i w:val="0"/>
          <w:color w:val="212A33"/>
          <w:sz w:val="22"/>
        </w:rPr>
        <w:t>可沿用“相关性、新近性、重要性”的多因子读取框架，但视频场景应保留可配置权重，并把新近性改造成时间邻近、事件顺序或查询指定时间段。所有命中结果都要携带时间戳和源帧 ID，防止摘要与证据脱节。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带反馈规划：</w:t>
      </w:r>
      <w:r>
        <w:rPr>
          <w:rFonts w:ascii="Calibri" w:hAnsi="Calibri" w:eastAsia="Microsoft YaHei"/>
          <w:i w:val="0"/>
          <w:color w:val="212A33"/>
          <w:sz w:val="22"/>
        </w:rPr>
        <w:t>把工具返回值当作环境反馈：若检测置信度低、相邻帧结论冲突、OCR 为空、ASR 与画面时间不一致，规划器应调整抽帧密度、切换模型、扩大时间窗口或请求人工确认。该闭环直接对应论文的“规划-行动-观察-再规划”。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证据化行动：</w:t>
      </w:r>
      <w:r>
        <w:rPr>
          <w:rFonts w:ascii="Calibri" w:hAnsi="Calibri" w:eastAsia="Microsoft YaHei"/>
          <w:i w:val="0"/>
          <w:color w:val="212A33"/>
          <w:sz w:val="22"/>
        </w:rPr>
        <w:t>建议输出同时包含自然语言结论、时间范围、关键帧和工具证据。LLM 负责组织语义与任务分解，视觉模型和检索模块负责生成可核验事实；这对应论文把外部工具纳入行动空间的做法。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双轨评测：</w:t>
      </w:r>
      <w:r>
        <w:rPr>
          <w:rFonts w:ascii="Calibri" w:hAnsi="Calibri" w:eastAsia="Microsoft YaHei"/>
          <w:i w:val="0"/>
          <w:color w:val="212A33"/>
          <w:sz w:val="22"/>
        </w:rPr>
        <w:t>为原型建立任务成功、时序定位、检索质量和效率四类指标，并补充人工抽检。具体可选择事件是否检出、时间边界误差或 Temporal IoU、Recall@K、证据一致率、延迟与调用成本。上述具体视频指标是工程扩展，不是论文给出的实验配置。</w:t>
      </w:r>
    </w:p>
    <w:p>
      <w:pPr>
        <w:pStyle w:val="Heading2"/>
      </w:pPr>
      <w:r>
        <w:t>建议的 Agent 原型链路</w:t>
      </w:r>
    </w:p>
    <w:p>
      <w:pPr>
        <w:keepLines w:val="0"/>
      </w:pPr>
      <w:r>
        <w:rPr>
          <w:rFonts w:ascii="Calibri" w:hAnsi="Calibri" w:eastAsia="Microsoft YaHei"/>
          <w:i w:val="0"/>
          <w:color w:val="212A33"/>
          <w:sz w:val="22"/>
        </w:rPr>
        <w:t>第一步由 FrameExtractorTool、ASR、OCR 和视觉检测器写入带时间戳的原始观察；第二步由短期缓冲区聚合同一局部时间窗的多模态证据；第三步由 TemporalEventStore 生成事件卡片并写入长期存储；第四步由 Planner 将查询分解并调用 EventRetriever；第五步由 EvidenceVerifier 回看源帧和相邻片段；第六步仅在证据一致时生成最终回答，否则触发重新抽帧或重新规划。</w:t>
      </w:r>
    </w:p>
    <w:p>
      <w:pPr>
        <w:pStyle w:val="Heading2"/>
      </w:pPr>
      <w:r>
        <w:t>需要二次验证后才能采用的思路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记忆反思：</w:t>
      </w:r>
      <w:r>
        <w:rPr>
          <w:rFonts w:ascii="Calibri" w:hAnsi="Calibri" w:eastAsia="Microsoft YaHei"/>
          <w:i w:val="0"/>
          <w:color w:val="212A33"/>
          <w:sz w:val="22"/>
        </w:rPr>
        <w:t>将多帧或多段观察压缩成自然语言反思，可能把先后关系、持续时间或不确定性抹平。应对事件摘要进行时间一致性测试，并保留原始观察链。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多路径规划：</w:t>
      </w:r>
      <w:r>
        <w:rPr>
          <w:rFonts w:ascii="Calibri" w:hAnsi="Calibri" w:eastAsia="Microsoft YaHei"/>
          <w:i w:val="0"/>
          <w:color w:val="212A33"/>
          <w:sz w:val="22"/>
        </w:rPr>
        <w:t>多路径推理、树搜索和多 Agent 讨论可能提高难例覆盖，但会显著增加视觉模型与 LLM 的重复调用。应在固定预算下与单路径加回退策略对比，不能只看最终正确率。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LLM 评审：</w:t>
      </w:r>
      <w:r>
        <w:rPr>
          <w:rFonts w:ascii="Calibri" w:hAnsi="Calibri" w:eastAsia="Microsoft YaHei"/>
          <w:i w:val="0"/>
          <w:color w:val="212A33"/>
          <w:sz w:val="22"/>
        </w:rPr>
        <w:t>让 LLM 评价事件摘要或检索结果可以降低人工成本，但评估者可能共享被评模型的偏差。需要与人工标注集做相关性、稳定性和跨模型一致性验证。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微调时机：</w:t>
      </w:r>
      <w:r>
        <w:rPr>
          <w:rFonts w:ascii="Calibri" w:hAnsi="Calibri" w:eastAsia="Microsoft YaHei"/>
          <w:i w:val="0"/>
          <w:color w:val="212A33"/>
          <w:sz w:val="22"/>
        </w:rPr>
        <w:t>论文把微调、提示工程和机制工程并列。对视频原型，优先验证工具链、记忆和反馈机制；只有在错误模式稳定、数据覆盖足够时，再评估微调是否比提示和检索增强更划算。</w:t>
      </w:r>
    </w:p>
    <w:p>
      <w:pPr>
        <w:pStyle w:val="Heading2"/>
      </w:pPr>
      <w:r>
        <w:t>当前不适合落地或风险较高的部分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LLM 单独充当事实源：</w:t>
      </w:r>
      <w:r>
        <w:rPr>
          <w:rFonts w:ascii="Calibri" w:hAnsi="Calibri" w:eastAsia="Microsoft YaHei"/>
          <w:i w:val="0"/>
          <w:color w:val="212A33"/>
          <w:sz w:val="22"/>
        </w:rPr>
        <w:t>不应让 LLM 仅凭内部知识或自然语言摘要判断视频中“确实发生了什么”。没有时间戳、关键帧或工具证据的结论应标记为未验证，而不是直接写入长期事件库。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无限长上下文堆叠：</w:t>
      </w:r>
      <w:r>
        <w:rPr>
          <w:rFonts w:ascii="Calibri" w:hAnsi="Calibri" w:eastAsia="Microsoft YaHei"/>
          <w:i w:val="0"/>
          <w:color w:val="212A33"/>
          <w:sz w:val="22"/>
        </w:rPr>
        <w:t>把整段长视频的转写、检测结果和历史全部塞进一个提示词，会同时触发上下文容量、提示鲁棒性、成本和噪声问题。应优先采用分段、索引、检索和证据回看。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无确认的高风险行动：</w:t>
      </w:r>
      <w:r>
        <w:rPr>
          <w:rFonts w:ascii="Calibri" w:hAnsi="Calibri" w:eastAsia="Microsoft YaHei"/>
          <w:i w:val="0"/>
          <w:color w:val="212A33"/>
          <w:sz w:val="22"/>
        </w:rPr>
        <w:t>片段删除、对外发布、覆盖标注或调用高权限系统等不可逆动作，不应由原型自动执行。需要工具白名单、最小权限、审计日志和人工确认。</w:t>
      </w:r>
    </w:p>
    <w:p>
      <w:pPr>
        <w:keepLines w:val="0"/>
      </w:pPr>
      <w:r>
        <w:rPr>
          <w:rFonts w:ascii="Calibri" w:hAnsi="Calibri" w:eastAsia="Microsoft YaHei"/>
          <w:b/>
          <w:color w:val="212A33"/>
          <w:sz w:val="22"/>
        </w:rPr>
        <w:t>与目标弱相关的复杂模拟：</w:t>
      </w:r>
      <w:r>
        <w:rPr>
          <w:rFonts w:ascii="Calibri" w:hAnsi="Calibri" w:eastAsia="Microsoft YaHei"/>
          <w:i w:val="0"/>
          <w:color w:val="212A33"/>
          <w:sz w:val="22"/>
        </w:rPr>
        <w:t>论文中的社会模拟与广义人类对齐讨论具有研究价值，但与当前视频检索原型的直接收益有限。除非任务转向人群行为模拟或内容安全研究，否则不应优先投入。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6F78"/>
        <w:sz w:val="17"/>
      </w:rPr>
      <w:t xml:space="preserve">PAGE </w:t>
    </w:r>
    <w:r>
      <w:rPr>
        <w:rFonts w:ascii="Calibri" w:hAnsi="Calibri" w:eastAsia="Microsoft YaHei"/>
        <w:color w:val="666F78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6F78"/>
        <w:sz w:val="17"/>
      </w:rPr>
      <w:t>LLM AUTONOMOUS AGENTS</w:t>
    </w:r>
    <w:r>
      <w:rPr>
        <w:rFonts w:ascii="Calibri" w:hAnsi="Calibri" w:eastAsia="Microsoft YaHei"/>
        <w:color w:val="666F78"/>
        <w:sz w:val="17"/>
      </w:rPr>
      <w:t xml:space="preserve">    |    TECHNICAL PAPER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Calibri" w:hAnsi="Calibri" w:eastAsia="Microsoft YaHei"/>
      <w:b w:val="0"/>
      <w:color w:val="212A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Survey on Large Language Model based Autonomous Agents - Chinese Technical Report</dc:title>
  <dc:subject>Structured Chinese deep technical report</dc:subject>
  <dc:creator>Codex</dc:creator>
  <cp:keywords>LLM agents, autonomous agents, memory, planning, evaluation, video workflow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