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 0.3 秒量级，连续五次导出之间波动不超过 0.05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。由此归纳出文档工程化改造的三个步骤：</w:t>
      </w:r>
    </w:p>
    <w:p>
      <w:pPr>
        <w:pStyle w:val="BodyText"/>
        <w:numPr>
          <w:ilvl w:val="0"/>
          <w:numId w:val="2"/>
        </w:numPr>
        <w:ind w:left="720" w:hanging="360" w:leftChars="0" w:firstLineChars="0"/>
      </w:pPr>
      <w:r>
        <w:rPr>
          <w:b/>
        </w:rPr>
        <w:t>源文件纯文本化</w:t>
      </w:r>
      <w:r>
        <w:t xml:space="preserve">：把稿件从 </w:t>
      </w:r>
      <w:r>
        <w:rPr>
          <w:rStyle w:val="VerbatimChar"/>
        </w:rPr>
        <w:t>.docx</w:t>
      </w:r>
      <w:r>
        <w:t xml:space="preserve"> 迁到 Markdown，纳入 Git 分支与评审流程；</w:t>
      </w:r>
    </w:p>
    <w:p>
      <w:pPr>
        <w:pStyle w:val="BodyText"/>
        <w:numPr>
          <w:ilvl w:val="0"/>
          <w:numId w:val="2"/>
        </w:numPr>
        <w:ind w:left="720" w:hanging="360" w:leftChars="0" w:firstLineChars="0"/>
      </w:pPr>
      <w:r>
        <w:rPr>
          <w:b/>
        </w:rPr>
        <w:t>排版规则声明化</w:t>
      </w:r>
      <w:r>
        <w:t xml:space="preserve">：把字体、行距、表格线宽这类决定写成一份 </w:t>
      </w:r>
      <w:r>
        <w:rPr>
          <w:rStyle w:val="VerbatimChar"/>
        </w:rPr>
        <w:t>requirements.txt</w:t>
      </w:r>
      <w:r>
        <w:t>，与稿件一同进版本库；</w:t>
      </w:r>
    </w:p>
    <w:p>
      <w:pPr>
        <w:pStyle w:val="BodyText"/>
        <w:numPr>
          <w:ilvl w:val="0"/>
          <w:numId w:val="2"/>
        </w:numPr>
        <w:ind w:left="720" w:hanging="360" w:leftChars="0" w:firstLineChars="0"/>
      </w:pPr>
      <w:r>
        <w:rPr>
          <w:b/>
        </w:rPr>
        <w:t>交付流程门禁化</w:t>
      </w:r>
      <w:r>
        <w:t>：导出前查契约、导出后查数值与样式，不通过就不交付。</w:t>
      </w:r>
    </w:p>
    <w:p>
      <w:pPr>
        <w:pStyle w:val="FirstParagraph"/>
      </w:pPr>
      <w:r>
        <w:t>这条路径的收益集中在四处：</w:t>
      </w:r>
    </w:p>
    <w:p>
      <w:pPr>
        <w:pStyle w:val="BodyText"/>
        <w:numPr>
          <w:ilvl w:val="0"/>
          <w:numId w:val="1"/>
        </w:numPr>
        <w:ind w:left="720" w:hanging="360" w:leftChars="0" w:firstLineChars="0"/>
      </w:pPr>
      <w:r>
        <w:t>改动可逐行审阅，评审意见落在具体某一行上；</w:t>
      </w:r>
    </w:p>
    <w:p>
      <w:pPr>
        <w:pStyle w:val="BodyText"/>
        <w:numPr>
          <w:ilvl w:val="0"/>
          <w:numId w:val="1"/>
        </w:numPr>
        <w:ind w:left="720" w:hanging="360" w:leftChars="0" w:firstLineChars="0"/>
      </w:pPr>
      <w:r>
        <w:t>排版只写一次，换一份稿件仍然生效；</w:t>
      </w:r>
    </w:p>
    <w:p>
      <w:pPr>
        <w:pStyle w:val="BodyText"/>
        <w:numPr>
          <w:ilvl w:val="1"/>
          <w:numId w:val="1"/>
        </w:numPr>
        <w:ind w:left="1440" w:hanging="360" w:leftChars="0" w:firstLineChars="0"/>
      </w:pPr>
      <w:r>
        <w:t>换字体、换行距只改一行，稿件正文一个字不动；</w:t>
      </w:r>
    </w:p>
    <w:p>
      <w:pPr>
        <w:pStyle w:val="BodyText"/>
        <w:numPr>
          <w:ilvl w:val="1"/>
          <w:numId w:val="1"/>
        </w:numPr>
        <w:ind w:left="1440" w:hanging="360" w:leftChars="0" w:firstLineChars="0"/>
      </w:pPr>
      <w:r>
        <w:t>同一份规则文件可同时供多个团队使用；</w:t>
      </w:r>
    </w:p>
    <w:p>
      <w:pPr>
        <w:pStyle w:val="BodyText"/>
        <w:numPr>
          <w:ilvl w:val="0"/>
          <w:numId w:val="1"/>
        </w:numPr>
        <w:ind w:left="720" w:hanging="360" w:leftChars="0" w:firstLineChars="0"/>
      </w:pPr>
      <w:r>
        <w:t>交给客户的文件与内部预览出自同一份源，不会分叉；</w:t>
      </w:r>
    </w:p>
    <w:p>
      <w:pPr>
        <w:pStyle w:val="BodyText"/>
        <w:numPr>
          <w:ilvl w:val="0"/>
          <w:numId w:val="1"/>
        </w:numPr>
        <w:ind w:left="720" w:hanging="360" w:leftChars="0" w:firstLineChars="0"/>
      </w:pPr>
      <w:r>
        <w:t>历史版本的排版差异可直接用 diff 观察。</w:t>
      </w:r>
    </w:p>
    <w:p>
      <w:pPr>
        <w:pStyle w:val="BlockText"/>
      </w:pPr>
      <w:r>
        <w:t xml:space="preserve">本文的全部实测数字由 </w:t>
      </w:r>
      <w:r>
        <w:rPr>
          <w:rStyle w:val="VerbatimChar"/>
        </w:rPr>
        <w:t>demo/make_demo_figures.py</w:t>
      </w:r>
      <w:r>
        <w:t xml:space="preserve"> 现场测量并写入图 1，可复现。</w:t>
      </w:r>
    </w:p>
    <w:p>
      <w:pPr>
        <w:pStyle w:val="BlockText"/>
      </w:pPr>
      <w:r>
        <w:t>复核时按三条走：</w:t>
      </w:r>
    </w:p>
    <w:p>
      <w:pPr>
        <w:pStyle w:val="BodyText"/>
        <w:numPr>
          <w:ilvl w:val="0"/>
          <w:numId w:val="1"/>
        </w:numPr>
        <w:ind w:left="1200" w:hanging="360" w:leftChars="0" w:firstLineChars="0"/>
      </w:pPr>
      <w:r>
        <w:t xml:space="preserve">打开 </w:t>
      </w:r>
      <w:r>
        <w:rPr>
          <w:rStyle w:val="VerbatimChar"/>
        </w:rPr>
        <w:t>.docx</w:t>
      </w:r>
      <w:r>
        <w:t>，看目录域是否已按实际分页重算；</w:t>
      </w:r>
    </w:p>
    <w:p>
      <w:pPr>
        <w:pStyle w:val="BodyText"/>
        <w:numPr>
          <w:ilvl w:val="0"/>
          <w:numId w:val="1"/>
        </w:numPr>
        <w:ind w:left="1200" w:hanging="360" w:leftChars="0" w:firstLineChars="0"/>
      </w:pPr>
      <w:r>
        <w:t>核对表格跨页处表头是否重复；</w:t>
      </w:r>
    </w:p>
    <w:p>
      <w:pPr>
        <w:pStyle w:val="BodyText"/>
        <w:numPr>
          <w:ilvl w:val="0"/>
          <w:numId w:val="1"/>
        </w:numPr>
        <w:ind w:left="1200" w:hanging="360" w:leftChars="0" w:firstLineChars="0"/>
      </w:pPr>
      <w:r>
        <w:t>核对公式编号是否与正文交叉引用一致。</w:t>
      </w:r>
    </w:p>
    <w:p>
      <w:pPr>
        <w:pStyle w:val="FirstParagraph"/>
      </w:pPr>
      <w:r>
        <w:t>旧口径下「每次交付前重排一遍」的做法（</w:t>
      </w:r>
      <w:r>
        <w:rPr>
          <w:strike/>
        </w:rPr>
        <w:t>人工逐处调整，分钟级</w:t>
      </w:r>
      <w:r>
        <w:t xml:space="preserve">）由此不再必要；本白皮书的源稿与要求文件见 </w:t>
      </w:r>
      <w:hyperlink r:id="rId9">
        <w:r>
          <w:rPr>
            <w:rStyle w:val="Hyperlink"/>
          </w:rPr>
          <w:t xml:space="preserve">项目仓库</w:t>
        </w:r>
      </w:hyperlink>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Heading2"/>
      </w:pPr>
      <w:r>
        <w:t>2.1 生产力函数的构成</w:t>
      </w:r>
    </w:p>
    <w:p>
      <w:pPr>
        <w:pStyle w:val="Heading3"/>
      </w:pPr>
      <w:r>
        <w:t>2.1.1 参数含义与取值</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10"/>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本报告连续导出五次，端到端耗时稳定在 0.3 秒量级，五次之间波动不超过 0.05 秒——</w:t>
      </w:r>
      <w:r>
        <w:rPr>
          <w:b/>
        </w:rPr>
        <w:t>亚秒级，且可复现</w:t>
      </w:r>
      <w:r>
        <w:t>。（图 1 里另一条曲线是同一台机器上的</w:t>
      </w:r>
      <w:r>
        <w:rPr>
          <w:b/>
        </w:rPr>
        <w:t>学位论文样例</w:t>
      </w:r>
      <w:r>
        <w:t>：8 页，含目录域与分节、附录，0.4 秒量级，多出来的部分是这两项的处理。）核心指标的对照数据汇总如表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0.3 秒（实测）</w:t>
            </w:r>
          </w:p>
        </w:tc>
      </w:tr>
      <w:t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requirements.txt</w:t>
            </w:r>
          </w:p>
        </w:tc>
      </w:tr>
      <w:t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排版要素与手工做法逐项对照，见表 2。</w:t>
      </w:r>
    </w:p>
    <w:p>
      <w:pPr>
        <w:pStyle w:val="TableCaption"/>
      </w:pPr>
      <w:r>
        <w:rPr>
          <w:b/>
        </w:rPr>
        <w:t>表 2</w:t>
      </w:r>
      <w:r>
        <w:t xml:space="preserve"> 常见排版要素的两种落地方式</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排版要素</w:t>
            </w:r>
          </w:p>
        </w:tc>
        <w:tc>
          <w:tcPr>
            <w:tcW w:type="dxa" w:w="3009"/>
          </w:tcPr>
          <w:p>
            <w:pPr>
              <w:pStyle w:val="Compact"/>
              <w:jc w:val="left"/>
            </w:pPr>
            <w:r>
              <w:t>手工做法</w:t>
            </w:r>
          </w:p>
        </w:tc>
        <w:tc>
          <w:tcPr>
            <w:tcW w:type="dxa" w:w="3009"/>
          </w:tcPr>
          <w:p>
            <w:pPr>
              <w:pStyle w:val="Compact"/>
              <w:jc w:val="left"/>
            </w:pPr>
            <w:r>
              <w:t>本工具的做法</w:t>
            </w:r>
          </w:p>
        </w:tc>
      </w:tr>
      <w:tr>
        <w:tc>
          <w:tcPr>
            <w:tcW w:type="dxa" w:w="3009"/>
          </w:tcPr>
          <w:p>
            <w:pPr>
              <w:pStyle w:val="Compact"/>
              <w:jc w:val="left"/>
            </w:pPr>
            <w:r>
              <w:t>中文字体与字号</w:t>
            </w:r>
          </w:p>
        </w:tc>
        <w:tc>
          <w:tcPr>
            <w:tcW w:type="dxa" w:w="3009"/>
          </w:tcPr>
          <w:p>
            <w:pPr>
              <w:pStyle w:val="Compact"/>
              <w:jc w:val="left"/>
            </w:pPr>
            <w:r>
              <w:t>逐段选中设置</w:t>
            </w:r>
          </w:p>
        </w:tc>
        <w:tc>
          <w:tcPr>
            <w:tcW w:type="dxa" w:w="3009"/>
          </w:tcPr>
          <w:p>
            <w:pPr>
              <w:pStyle w:val="Compact"/>
              <w:jc w:val="left"/>
            </w:pPr>
            <w:r>
              <w:t>一行「正文：宋体 小四 …」</w:t>
            </w:r>
          </w:p>
        </w:tc>
      </w:tr>
      <w:tr>
        <w:tc>
          <w:tcPr>
            <w:tcW w:type="dxa" w:w="3009"/>
          </w:tcPr>
          <w:p>
            <w:pPr>
              <w:pStyle w:val="Compact"/>
              <w:jc w:val="left"/>
            </w:pPr>
            <w:r>
              <w:t>西文字体</w:t>
            </w:r>
          </w:p>
        </w:tc>
        <w:tc>
          <w:tcPr>
            <w:tcW w:type="dxa" w:w="3009"/>
          </w:tcPr>
          <w:p>
            <w:pPr>
              <w:pStyle w:val="Compact"/>
              <w:jc w:val="left"/>
            </w:pPr>
            <w:r>
              <w:t>中英文各设一遍</w:t>
            </w:r>
          </w:p>
        </w:tc>
        <w:tc>
          <w:tcPr>
            <w:tcW w:type="dxa" w:w="3009"/>
          </w:tcPr>
          <w:p>
            <w:pPr>
              <w:pStyle w:val="Compact"/>
              <w:jc w:val="left"/>
            </w:pPr>
            <w:r>
              <w:t>同一行内以斜杠区分中西文</w:t>
            </w:r>
          </w:p>
        </w:tc>
      </w:tr>
      <w:tr>
        <w:tc>
          <w:tcPr>
            <w:tcW w:type="dxa" w:w="3009"/>
          </w:tcPr>
          <w:p>
            <w:pPr>
              <w:pStyle w:val="Compact"/>
              <w:jc w:val="left"/>
            </w:pPr>
            <w:r>
              <w:t>行距与段间距</w:t>
            </w:r>
          </w:p>
        </w:tc>
        <w:tc>
          <w:tcPr>
            <w:tcW w:type="dxa" w:w="3009"/>
          </w:tcPr>
          <w:p>
            <w:pPr>
              <w:pStyle w:val="Compact"/>
              <w:jc w:val="left"/>
            </w:pPr>
            <w:r>
              <w:t>逐段调整</w:t>
            </w:r>
          </w:p>
        </w:tc>
        <w:tc>
          <w:tcPr>
            <w:tcW w:type="dxa" w:w="3009"/>
          </w:tcPr>
          <w:p>
            <w:pPr>
              <w:pStyle w:val="Compact"/>
              <w:jc w:val="left"/>
            </w:pPr>
            <w:r>
              <w:t>同一条样式行声明</w:t>
            </w:r>
          </w:p>
        </w:tc>
      </w:tr>
      <w:tr>
        <w:tc>
          <w:tcPr>
            <w:tcW w:type="dxa" w:w="3009"/>
          </w:tcPr>
          <w:p>
            <w:pPr>
              <w:pStyle w:val="Compact"/>
              <w:jc w:val="left"/>
            </w:pPr>
            <w:r>
              <w:t>首行缩进</w:t>
            </w:r>
          </w:p>
        </w:tc>
        <w:tc>
          <w:tcPr>
            <w:tcW w:type="dxa" w:w="3009"/>
          </w:tcPr>
          <w:p>
            <w:pPr>
              <w:pStyle w:val="Compact"/>
              <w:jc w:val="left"/>
            </w:pPr>
            <w:r>
              <w:t>用空格凑位</w:t>
            </w:r>
          </w:p>
        </w:tc>
        <w:tc>
          <w:tcPr>
            <w:tcW w:type="dxa" w:w="3009"/>
          </w:tcPr>
          <w:p>
            <w:pPr>
              <w:pStyle w:val="Compact"/>
              <w:jc w:val="left"/>
            </w:pPr>
            <w:r>
              <w:t>「首行缩进2字符」，随字号换算</w:t>
            </w:r>
          </w:p>
        </w:tc>
      </w:tr>
      <w:tr>
        <w:tc>
          <w:tcPr>
            <w:tcW w:type="dxa" w:w="3009"/>
          </w:tcPr>
          <w:p>
            <w:pPr>
              <w:pStyle w:val="Compact"/>
              <w:jc w:val="left"/>
            </w:pPr>
            <w:r>
              <w:t>多级标题</w:t>
            </w:r>
          </w:p>
        </w:tc>
        <w:tc>
          <w:tcPr>
            <w:tcW w:type="dxa" w:w="3009"/>
          </w:tcPr>
          <w:p>
            <w:pPr>
              <w:pStyle w:val="Compact"/>
              <w:jc w:val="left"/>
            </w:pPr>
            <w:r>
              <w:t>手动编号</w:t>
            </w:r>
          </w:p>
        </w:tc>
        <w:tc>
          <w:tcPr>
            <w:tcW w:type="dxa" w:w="3009"/>
          </w:tcPr>
          <w:p>
            <w:pPr>
              <w:pStyle w:val="Compact"/>
              <w:jc w:val="left"/>
            </w:pPr>
            <w:r>
              <w:rPr>
                <w:rStyle w:val="VerbatimChar"/>
              </w:rPr>
              <w:t>#</w:t>
            </w:r>
            <w:r>
              <w:t xml:space="preserve"> 层级直接映射标题样式</w:t>
            </w:r>
          </w:p>
        </w:tc>
      </w:tr>
      <w:tr>
        <w:tc>
          <w:tcPr>
            <w:tcW w:type="dxa" w:w="3009"/>
          </w:tcPr>
          <w:p>
            <w:pPr>
              <w:pStyle w:val="Compact"/>
              <w:jc w:val="left"/>
            </w:pPr>
            <w:r>
              <w:t>三线表与全网格表</w:t>
            </w:r>
          </w:p>
        </w:tc>
        <w:tc>
          <w:tcPr>
            <w:tcW w:type="dxa" w:w="3009"/>
          </w:tcPr>
          <w:p>
            <w:pPr>
              <w:pStyle w:val="Compact"/>
              <w:jc w:val="left"/>
            </w:pPr>
            <w:r>
              <w:t>逐格画线</w:t>
            </w:r>
          </w:p>
        </w:tc>
        <w:tc>
          <w:tcPr>
            <w:tcW w:type="dxa" w:w="3009"/>
          </w:tcPr>
          <w:p>
            <w:pPr>
              <w:pStyle w:val="Compact"/>
              <w:jc w:val="left"/>
            </w:pPr>
            <w:r>
              <w:t>「表格：三线表 线宽上1.5磅 …」</w:t>
            </w:r>
          </w:p>
        </w:tc>
      </w:tr>
      <w:tr>
        <w:tc>
          <w:tcPr>
            <w:tcW w:type="dxa" w:w="3009"/>
          </w:tcPr>
          <w:p>
            <w:pPr>
              <w:pStyle w:val="Compact"/>
              <w:jc w:val="left"/>
            </w:pPr>
            <w:r>
              <w:t>跨页重复表头</w:t>
            </w:r>
          </w:p>
        </w:tc>
        <w:tc>
          <w:tcPr>
            <w:tcW w:type="dxa" w:w="3009"/>
          </w:tcPr>
          <w:p>
            <w:pPr>
              <w:pStyle w:val="Compact"/>
              <w:jc w:val="left"/>
            </w:pPr>
            <w:r>
              <w:t>右键勾选、逐表处理</w:t>
            </w:r>
          </w:p>
        </w:tc>
        <w:tc>
          <w:tcPr>
            <w:tcW w:type="dxa" w:w="3009"/>
          </w:tcPr>
          <w:p>
            <w:pPr>
              <w:pStyle w:val="Compact"/>
              <w:jc w:val="left"/>
            </w:pPr>
            <w:r>
              <w:t>「表头：… 跨页重复」一次声明</w:t>
            </w:r>
          </w:p>
        </w:tc>
      </w:tr>
      <w:tr>
        <w:tc>
          <w:tcPr>
            <w:tcW w:type="dxa" w:w="3009"/>
          </w:tcPr>
          <w:p>
            <w:pPr>
              <w:pStyle w:val="Compact"/>
              <w:jc w:val="left"/>
            </w:pPr>
            <w:r>
              <w:t>图片与题注</w:t>
            </w:r>
          </w:p>
        </w:tc>
        <w:tc>
          <w:tcPr>
            <w:tcW w:type="dxa" w:w="3009"/>
          </w:tcPr>
          <w:p>
            <w:pPr>
              <w:pStyle w:val="Compact"/>
              <w:jc w:val="left"/>
            </w:pPr>
            <w:r>
              <w:t>手动插入、易断页</w:t>
            </w:r>
          </w:p>
        </w:tc>
        <w:tc>
          <w:tcPr>
            <w:tcW w:type="dxa" w:w="3009"/>
          </w:tcPr>
          <w:p>
            <w:pPr>
              <w:pStyle w:val="Compact"/>
              <w:jc w:val="left"/>
            </w:pPr>
            <w:r>
              <w:t>题注与图片同页绑定</w:t>
            </w:r>
          </w:p>
        </w:tc>
      </w:tr>
      <w:tr>
        <w:tc>
          <w:tcPr>
            <w:tcW w:type="dxa" w:w="3009"/>
          </w:tcPr>
          <w:p>
            <w:pPr>
              <w:pStyle w:val="Compact"/>
              <w:jc w:val="left"/>
            </w:pPr>
            <w:r>
              <w:t>公式居中与编号靠右</w:t>
            </w:r>
          </w:p>
        </w:tc>
        <w:tc>
          <w:tcPr>
            <w:tcW w:type="dxa" w:w="3009"/>
          </w:tcPr>
          <w:p>
            <w:pPr>
              <w:pStyle w:val="Compact"/>
              <w:jc w:val="left"/>
            </w:pPr>
            <w:r>
              <w:t>三列无边框表或空格对齐</w:t>
            </w:r>
          </w:p>
        </w:tc>
        <w:tc>
          <w:tcPr>
            <w:tcW w:type="dxa" w:w="3009"/>
          </w:tcPr>
          <w:p>
            <w:pPr>
              <w:pStyle w:val="Compact"/>
              <w:jc w:val="left"/>
            </w:pPr>
            <w:r>
              <w:t>制表位 + 原生 OMML</w:t>
            </w:r>
          </w:p>
        </w:tc>
      </w:tr>
      <w:tr>
        <w:tc>
          <w:tcPr>
            <w:tcW w:type="dxa" w:w="3009"/>
          </w:tcPr>
          <w:p>
            <w:pPr>
              <w:pStyle w:val="Compact"/>
              <w:jc w:val="left"/>
            </w:pPr>
            <w:r>
              <w:t>目录</w:t>
            </w:r>
          </w:p>
        </w:tc>
        <w:tc>
          <w:tcPr>
            <w:tcW w:type="dxa" w:w="3009"/>
          </w:tcPr>
          <w:p>
            <w:pPr>
              <w:pStyle w:val="Compact"/>
              <w:jc w:val="left"/>
            </w:pPr>
            <w:r>
              <w:t>手动生成，正文一改页码就错</w:t>
            </w:r>
          </w:p>
        </w:tc>
        <w:tc>
          <w:tcPr>
            <w:tcW w:type="dxa" w:w="3009"/>
          </w:tcPr>
          <w:p>
            <w:pPr>
              <w:pStyle w:val="Compact"/>
              <w:jc w:val="left"/>
            </w:pPr>
            <w:r>
              <w:t>目录域，打开时按实际分页重算</w:t>
            </w:r>
          </w:p>
        </w:tc>
      </w:tr>
      <w:tr>
        <w:tc>
          <w:tcPr>
            <w:tcW w:type="dxa" w:w="3009"/>
          </w:tcPr>
          <w:p>
            <w:pPr>
              <w:pStyle w:val="Compact"/>
              <w:jc w:val="left"/>
            </w:pPr>
            <w:r>
              <w:t>分节与页码格式</w:t>
            </w:r>
          </w:p>
        </w:tc>
        <w:tc>
          <w:tcPr>
            <w:tcW w:type="dxa" w:w="3009"/>
          </w:tcPr>
          <w:p>
            <w:pPr>
              <w:pStyle w:val="Compact"/>
              <w:jc w:val="left"/>
            </w:pPr>
            <w:r>
              <w:t>手动插分节符</w:t>
            </w:r>
          </w:p>
        </w:tc>
        <w:tc>
          <w:tcPr>
            <w:tcW w:type="dxa" w:w="3009"/>
          </w:tcPr>
          <w:p>
            <w:pPr>
              <w:pStyle w:val="Compact"/>
              <w:jc w:val="left"/>
            </w:pPr>
            <w:r>
              <w:rPr>
                <w:rStyle w:val="VerbatimChar"/>
              </w:rPr>
              <w:t>{{&lt; section 页码=小写罗马 起始=1 &gt;}}</w:t>
            </w:r>
          </w:p>
        </w:tc>
      </w:tr>
      <w:tr>
        <w:tc>
          <w:tcPr>
            <w:tcW w:type="dxa" w:w="3009"/>
          </w:tcPr>
          <w:p>
            <w:pPr>
              <w:pStyle w:val="Compact"/>
              <w:jc w:val="left"/>
            </w:pPr>
            <w:r>
              <w:t>页眉页脚</w:t>
            </w:r>
          </w:p>
        </w:tc>
        <w:tc>
          <w:tcPr>
            <w:tcW w:type="dxa" w:w="3009"/>
          </w:tcPr>
          <w:p>
            <w:pPr>
              <w:pStyle w:val="Compact"/>
              <w:jc w:val="left"/>
            </w:pPr>
            <w:r>
              <w:t>逐节设置</w:t>
            </w:r>
          </w:p>
        </w:tc>
        <w:tc>
          <w:tcPr>
            <w:tcW w:type="dxa" w:w="3009"/>
          </w:tcPr>
          <w:p>
            <w:pPr>
              <w:pStyle w:val="Compact"/>
              <w:jc w:val="left"/>
            </w:pPr>
            <w:r>
              <w:t>页眉/页脚行 + 域标记</w:t>
            </w:r>
          </w:p>
        </w:tc>
      </w:tr>
      <w:tr>
        <w:tc>
          <w:tcPr>
            <w:tcW w:type="dxa" w:w="3009"/>
          </w:tcPr>
          <w:p>
            <w:pPr>
              <w:pStyle w:val="Compact"/>
              <w:jc w:val="left"/>
            </w:pPr>
            <w:r>
              <w:t>参考文献</w:t>
            </w:r>
          </w:p>
        </w:tc>
        <w:tc>
          <w:tcPr>
            <w:tcW w:type="dxa" w:w="3009"/>
          </w:tcPr>
          <w:p>
            <w:pPr>
              <w:pStyle w:val="Compact"/>
              <w:jc w:val="left"/>
            </w:pPr>
            <w:r>
              <w:t>手工录入并排序</w:t>
            </w:r>
          </w:p>
        </w:tc>
        <w:tc>
          <w:tcPr>
            <w:tcW w:type="dxa" w:w="3009"/>
          </w:tcPr>
          <w:p>
            <w:pPr>
              <w:pStyle w:val="Compact"/>
              <w:jc w:val="left"/>
            </w:pPr>
            <w:r>
              <w:rPr>
                <w:rStyle w:val="VerbatimChar"/>
              </w:rPr>
              <w:t>.bib</w:t>
            </w:r>
            <w:r>
              <w:t xml:space="preserve"> + CSL 样式自动生成</w:t>
            </w:r>
          </w:p>
        </w:tc>
      </w:tr>
    </w:tbl>
    <w:p>
      <w:pPr>
        <w:pStyle w:val="TableNote"/>
      </w:pPr>
      <w:r>
        <w:t>注：手工做法一列描述的是通行的操作路径，不含任何自动化脚本。</w:t>
      </w:r>
    </w:p>
    <w:p>
      <w:pPr>
        <w:pStyle w:val="BodyText"/>
      </w:pPr>
      <w:r>
        <w:t>要求文件本身也是可读的文本，节选如下：</w:t>
      </w:r>
    </w:p>
    <w:p>
      <w:pPr>
        <w:pStyle w:val="SourceCode"/>
      </w:pPr>
      <w:r>
        <w:t>纸张：A4</w:t>
      </w:r>
      <w:r>
        <w:br/>
      </w:r>
      <w:r>
        <w:t>页边距：上2.54cm 下2.54cm 左3.18cm 右3.18cm</w:t>
      </w:r>
      <w:r>
        <w:br/>
      </w:r>
      <w:r>
        <w:t>正文：宋体/Times New Roman 小四 行距1.5倍 首行缩进2字符</w:t>
      </w:r>
      <w:r>
        <w:br/>
      </w:r>
      <w:r>
        <w:t>表格：居中 全网格线 线宽上0.75磅 线宽内0.5磅</w:t>
      </w:r>
    </w:p>
    <w:p>
      <w:pPr>
        <w:pStyle w:val="FirstParagraph"/>
      </w:pPr>
      <w:r>
        <w:t>交付流程的后半段接着前面三个步骤：</w:t>
      </w:r>
    </w:p>
    <w:p>
      <w:pPr>
        <w:pStyle w:val="BodyText"/>
        <w:numPr>
          <w:ilvl w:val="0"/>
          <w:numId w:val="100"/>
        </w:numPr>
        <w:ind w:left="720" w:hanging="360" w:leftChars="0" w:firstLineChars="0"/>
      </w:pPr>
      <w:r>
        <w:rPr>
          <w:b/>
        </w:rPr>
        <w:t>复核产物</w:t>
      </w:r>
      <w:r>
        <w:t>：用 Word 打开一次，核对表格行高、公式与题注的落版；</w:t>
      </w:r>
    </w:p>
    <w:p>
      <w:pPr>
        <w:pStyle w:val="BodyText"/>
        <w:numPr>
          <w:ilvl w:val="0"/>
          <w:numId w:val="100"/>
        </w:numPr>
        <w:ind w:left="720" w:hanging="360" w:leftChars="0" w:firstLineChars="0"/>
      </w:pPr>
      <w:r>
        <w:rPr>
          <w:b/>
        </w:rPr>
        <w:t>归档发版</w:t>
      </w:r>
      <w:r>
        <w:t>：产物与源稿一并归档，下一版从同一份源重新导出。</w:t>
      </w:r>
    </w:p>
    <w:p>
      <w:pPr>
        <w:pStyle w:val="FirstParagraph"/>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 w:numId="100">
    <w:abstractNumId w:val="1"/>
    <w:lvlOverride w:ilvl="0">
      <w:startOverride w:val="4"/>
    </w:lvlOverride>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1F4E79"/>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pPr>
      <w:spacing w:line="360" w:lineRule="auto" w:before="0" w:after="0"/>
      <w:ind w:leftChars="200" w:firstLineChars="200"/>
      <w:jc w:val="both"/>
    </w:pPr>
    <w:rPr>
      <w:rFonts w:eastAsia="楷体" w:ascii="Times New Roman" w:hAnsi="Times New Roman"/>
      <w:b w:val="0"/>
      <w:i w:val="0"/>
      <w:color w:val="000000"/>
      <w:sz w:val="24"/>
    </w:rPr>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yperlink" Target="https://github.com/ls-open/md-to-word"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