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1440" w:header="720" w:footer="720" w:gutter="0"/>
          <w:pgNumType w:fmt="lowerRoman" w:start="1"/>
          <w:cols w:space="720"/>
          <w:docGrid w:linePitch="360"/>
        </w:sectPr>
      </w:pPr>
    </w:p>
    <w:bookmarkStart w:id="21" w:name="第一章-绪论"/>
    <w:p>
      <w:pPr>
        <w:pStyle w:val="Heading1"/>
      </w:pPr>
      <w:r>
        <w:rPr>
          <w:rFonts w:hint="eastAsia"/>
        </w:rPr>
        <w:t xml:space="preserve">第一章</w:t>
      </w:r>
      <w:r>
        <w:t xml:space="preserve"> </w:t>
      </w:r>
      <w:r>
        <w:rPr>
          <w:rFonts w:hint="eastAsia"/>
        </w:rPr>
        <w:t xml:space="preserve">绪论</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[1]</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Start w:id="24"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w:t>
        </w:r>
        <w:r>
          <w:rPr>
            <w:rStyle w:val="Hyperlink"/>
          </w:rPr>
          <w:t xml:space="preserve"> 1</w:t>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t>
                </m:r>
              </m:oMath>
            </m:oMathPara>
            <w:bookmarkStart w:id="22" w:name="eq-dynamics"/>
            <w:bookmarkEnd w:id="22"/>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t>
                </m:r>
              </m:oMath>
            </m:oMathPara>
            <w:bookmarkStart w:id="23" w:name="eq-bellman"/>
            <w:bookmarkEnd w:id="23"/>
          </w:p>
        </w:tc>
        <w:tc>
          <w:tcPr>
            <w:tcW w:w="800" w:type="pct"/>
            <w:vAlign w:val="center"/>
          </w:tcPr>
          <w:p>
            <w:pPr>
              <w:pStyle w:val="BodyText"/>
              <w:jc w:val="right"/>
              <w:spacing w:before="0" w:after="0"/>
            </w:pPr>
            <w:r>
              <w:t>(2)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[2]</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4"/>
    <w:bookmarkStart w:id="28" w:name="第三章-规范实现与对比验证"/>
    <w:p>
      <w:pPr>
        <w:pStyle w:val="Heading1"/>
      </w:pPr>
      <w:r>
        <w:rPr>
          <w:rFonts w:hint="eastAsia"/>
        </w:rPr>
        <w:t xml:space="preserve">第三章</w:t>
      </w:r>
      <w:r>
        <w:t xml:space="preserve"> </w:t>
      </w:r>
      <w:r>
        <w:rPr>
          <w:rFonts w:hint="eastAsia"/>
        </w:rPr>
        <w:t xml:space="preserve">规范实现与对比验证</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CaptionedFigure"/>
      </w:pPr>
      <w:r>
        <w:drawing>
          <wp:inline>
            <wp:extent cx="4679999" cy="2239477"/>
            <wp:effectExtent b="0" l="0" r="0" t="0"/>
            <wp:docPr descr="图 2 排版自动化流水线质量门禁与逐条对账流程" title="" id="26" name="Picture"/>
            <a:graphic>
              <a:graphicData uri="http://schemas.openxmlformats.org/drawingml/2006/picture">
                <pic:pic>
                  <pic:nvPicPr>
                    <pic:cNvPr descr="figures/qa_pipeline.png" id="27" name="Picture"/>
                    <pic:cNvPicPr>
                      <a:picLocks noChangeArrowheads="1" noChangeAspect="1"/>
                    </pic:cNvPicPr>
                  </pic:nvPicPr>
                  <pic:blipFill>
                    <a:blip r:embed="rId25"/>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p>
      <w:pPr>
        <w:pStyle w:val="BodyText"/>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排版要素</w:t>
            </w:r>
          </w:p>
        </w:tc>
        <w:tc>
          <w:tcPr/>
          <w:p>
            <w:pPr>
              <w:pStyle w:val="Compact"/>
              <w:jc w:val="center"/>
            </w:pPr>
            <w:r>
              <w:rPr>
                <w:rFonts w:hint="eastAsia"/>
              </w:rPr>
              <w:t xml:space="preserve">原生</w:t>
            </w:r>
            <w:r>
              <w:t xml:space="preserve"> Pandoc </w:t>
            </w:r>
            <w:r>
              <w:rPr>
                <w:rFonts w:hint="eastAsia"/>
              </w:rPr>
              <w:t xml:space="preserve">默认导出</w:t>
            </w:r>
          </w:p>
        </w:tc>
        <w:tc>
          <w:tcPr/>
          <w:p>
            <w:pPr>
              <w:pStyle w:val="Compact"/>
              <w:jc w:val="center"/>
            </w:pPr>
            <w:r>
              <w:t xml:space="preserve">Quarto </w:t>
            </w:r>
            <w:r>
              <w:rPr>
                <w:rFonts w:hint="eastAsia"/>
              </w:rPr>
              <w:t xml:space="preserve">默认</w:t>
            </w:r>
            <w:r>
              <w:t xml:space="preserve"> Word </w:t>
            </w:r>
            <w:r>
              <w:rPr>
                <w:rFonts w:hint="eastAsia"/>
              </w:rPr>
              <w:t xml:space="preserve">导出</w:t>
            </w:r>
          </w:p>
        </w:tc>
        <w:tc>
          <w:tcPr/>
          <w:p>
            <w:pPr>
              <w:pStyle w:val="Compact"/>
              <w:jc w:val="center"/>
            </w:pPr>
            <w:r>
              <w:t xml:space="preserve">Word </w:t>
            </w:r>
            <w:r>
              <w:rPr>
                <w:rFonts w:hint="eastAsia"/>
              </w:rPr>
              <w:t xml:space="preserve">手工排版</w:t>
            </w:r>
          </w:p>
        </w:tc>
        <w:tc>
          <w:tcPr/>
          <w:p>
            <w:pPr>
              <w:pStyle w:val="Compact"/>
              <w:jc w:val="center"/>
            </w:pPr>
            <w:r>
              <w:rPr>
                <w:rFonts w:hint="eastAsia"/>
              </w:rPr>
              <w:t xml:space="preserve">本文方案</w:t>
            </w:r>
          </w:p>
        </w:tc>
      </w:tr>
      <w:tr>
        <w:tc>
          <w:tcPr/>
          <w:p>
            <w:pPr>
              <w:pStyle w:val="Compact"/>
              <w:jc w:val="left"/>
            </w:pPr>
            <w:r>
              <w:rPr>
                <w:rFonts w:hint="eastAsia"/>
              </w:rPr>
              <w:t xml:space="preserve">双线动态章名页眉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r>
              <w:t xml:space="preserve"> + </w:t>
            </w:r>
            <w:r>
              <w:rPr>
                <w:rFonts w:hint="eastAsia"/>
              </w:rPr>
              <w:t xml:space="preserve">插域</w:t>
            </w:r>
          </w:p>
        </w:tc>
        <w:tc>
          <w:tcPr/>
          <w:p>
            <w:pPr>
              <w:pStyle w:val="Compact"/>
              <w:jc w:val="center"/>
            </w:pPr>
            <w:r>
              <w:rPr>
                <w:rFonts w:hint="eastAsia"/>
              </w:rPr>
              <w:t xml:space="preserve">声明一行即得</w:t>
            </w:r>
          </w:p>
        </w:tc>
      </w:tr>
      <w:tr>
        <w:tc>
          <w:tcPr/>
          <w:p>
            <w:pPr>
              <w:pStyle w:val="Compact"/>
              <w:jc w:val="left"/>
            </w:pPr>
            <w:r>
              <w:rPr>
                <w:rFonts w:hint="eastAsia"/>
              </w:rPr>
              <w:t xml:space="preserve">独立罗马/阿拉伯分节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手工插分节符</w:t>
            </w:r>
          </w:p>
        </w:tc>
        <w:tc>
          <w:tcPr/>
          <w:p>
            <w:pPr>
              <w:pStyle w:val="Compact"/>
              <w:jc w:val="center"/>
            </w:pPr>
            <w:r>
              <w:rPr>
                <w:rFonts w:hint="eastAsia"/>
              </w:rPr>
              <w:t xml:space="preserve">声明一行即得</w:t>
            </w:r>
          </w:p>
        </w:tc>
      </w:tr>
      <w:tr>
        <w:tc>
          <w:tcPr/>
          <w:p>
            <w:pPr>
              <w:pStyle w:val="Compact"/>
              <w:jc w:val="left"/>
            </w:pPr>
            <w:r>
              <w:rPr>
                <w:rFonts w:hint="eastAsia"/>
              </w:rPr>
              <w:t xml:space="preserve">规范学术三线表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逐表设边框</w:t>
            </w:r>
          </w:p>
        </w:tc>
        <w:tc>
          <w:tcPr/>
          <w:p>
            <w:pPr>
              <w:pStyle w:val="Compact"/>
              <w:jc w:val="center"/>
            </w:pPr>
            <w:r>
              <w:rPr>
                <w:rFonts w:hint="eastAsia"/>
              </w:rPr>
              <w:t xml:space="preserve">声明一行即得</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默认即有，可显式声明</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编号不靠右</w:t>
            </w:r>
          </w:p>
        </w:tc>
        <w:tc>
          <w:tcPr/>
          <w:p>
            <w:pPr>
              <w:pStyle w:val="Compact"/>
              <w:jc w:val="center"/>
            </w:pPr>
            <w:r>
              <w:rPr>
                <w:rFonts w:hint="eastAsia"/>
              </w:rPr>
              <w:t xml:space="preserve">编号跟随公式</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数据防丢数门禁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导出前后自动对账</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28"/>
    <w:bookmarkStart w:id="33"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2" w:name="refs"/>
    <w:bookmarkStart w:id="30" w:name="ref-macfarlane2020"/>
    <w:p>
      <w:pPr>
        <w:pStyle w:val="Bibliography"/>
      </w:pPr>
      <w:r>
        <w:t xml:space="preserve">[1]MACFARLANE J. Pandoc: A Universal Document Converter[M/OL]. GitHub repository, 2020.</w:t>
      </w:r>
      <w:r>
        <w:t xml:space="preserve"> </w:t>
      </w:r>
      <w:hyperlink r:id="rId29">
        <w:r>
          <w:rPr>
            <w:rStyle w:val="Hyperlink"/>
          </w:rPr>
          <w:t xml:space="preserve">https://pandoc.org</w:t>
        </w:r>
      </w:hyperlink>
      <w:r>
        <w:t xml:space="preserve">.</w:t>
      </w:r>
    </w:p>
    <w:bookmarkEnd w:id="30"/>
    <w:bookmarkStart w:id="31" w:name="ref-ecma376"/>
    <w:p>
      <w:pPr>
        <w:pStyle w:val="Bibliography"/>
      </w:pPr>
      <w:r>
        <w:t xml:space="preserve">[2]INTERNATIONAL E. Information technology – Document description and processing languages – Office Open XML File Formats (ECMA-376 5th edition)[A]. Geneva: ECMA International, 2021.</w:t>
      </w:r>
    </w:p>
    <w:bookmarkEnd w:id="31"/>
    <w:bookmarkEnd w:id="32"/>
    <w:bookmarkEnd w:id="33"/>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SourceCode" w:type="paragraph">
    <w:name w:val="Source Code"/>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VerbatimChar" w:type="character">
    <w:name w:val="Verbatim Char"/>
    <w:basedOn w:val="DefaultParagraphFont"/>
    <w:qFormat/>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18" Target="media/rId18.png" /><Relationship Type="http://schemas.openxmlformats.org/officeDocument/2006/relationships/hyperlink" Id="rId29"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29"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2026-10-11T04:14:00Z</dcterms:created>
  <dcterms:modified xsi:type="dcterms:W3CDTF">2026-10-11T04:14:00Z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