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w:t>
      </w:r>
      <w:hyperlink w:anchor="ref-chacon2014">
        <w:r>
          <w:rPr>
            <w:rStyle w:val="Hyperlink"/>
          </w:rPr>
          <w:t xml:space="preserve">Chacon &amp; Straub, 2014</w:t>
        </w:r>
      </w:hyperlink>
      <w:r>
        <w:t xml:space="preserve">)</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w:t>
      </w:r>
      <w:hyperlink w:anchor="ref-fowler2006">
        <w:r>
          <w:rPr>
            <w:rStyle w:val="Hyperlink"/>
          </w:rPr>
          <w:t xml:space="preserve">Fowler &amp; Foemmel, 2006</w:t>
        </w:r>
      </w:hyperlink>
      <w:r>
        <w:t xml:space="preserve">)</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w:t>
      </w:r>
      <w:hyperlink w:anchor="ref-bass2015">
        <w:r>
          <w:rPr>
            <w:rStyle w:val="Hyperlink"/>
          </w:rPr>
          <w:t xml:space="preserve">Bass et al., 2015</w:t>
        </w:r>
      </w:hyperlink>
      <w:r>
        <w:t xml:space="preserve">)</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