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7.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样式审计的三道确定性质量门禁。对照结果表明，所提方案消除了传统转换工具的排版伪影，并以导出前后的三道自动门禁替代了人工逐项核对，为科研工作者提供了兼顾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2007" w:header="720" w:footer="720" w:gutter="0"/>
          <w:pgNumType w:fmt="lowerRoman" w:start="1"/>
          <w:cols w:space="720"/>
          <w:docGrid w:linePitch="422" w:type="lines"/>
        </w:sectPr>
      </w:pPr>
    </w:p>
    <w:bookmarkStart w:id="22" w:name="第一章-绪论"/>
    <w:p>
      <w:pPr>
        <w:pStyle w:val="Heading1"/>
      </w:pPr>
      <w:r>
        <w:rPr>
          <w:rFonts w:hint="eastAsia"/>
        </w:rPr>
        <w:t xml:space="preserve">第一章</w:t>
      </w:r>
      <w:r>
        <w:t xml:space="preserve"> </w:t>
      </w:r>
      <w:r>
        <w:rPr>
          <w:rFonts w:hint="eastAsia"/>
        </w:rPr>
        <w:t xml:space="preserve">绪论</w:t>
      </w:r>
    </w:p>
    <w:bookmarkStart w:id="21" w:name="研究背景与问题"/>
    <w:p>
      <w:pPr>
        <w:pStyle w:val="Heading2"/>
      </w:pPr>
      <w:r>
        <w:t xml:space="preserve">1.1 </w:t>
      </w:r>
      <w:r>
        <w:rPr>
          <w:rFonts w:hint="eastAsia"/>
        </w:rPr>
        <w:t xml:space="preserve">研究背景与问题</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w:t>
      </w:r>
      <w:hyperlink w:anchor="ref-macfarlane2020">
        <w:r>
          <w:rPr>
            <w:rStyle w:val="Hyperlink"/>
            <w:vertAlign w:val="superscript"/>
          </w:rPr>
          <w:t xml:space="preserve">1</w:t>
        </w:r>
      </w:hyperlink>
      <w:r>
        <w:rPr>
          <w:vertAlign w:val="superscript"/>
        </w:rPr>
        <w:t xml:space="preserve">]</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BodyText"/>
      </w:pPr>
      <w:r>
        <w:drawing>
          <wp:inline>
            <wp:extent cx="4679999" cy="2213023"/>
            <wp:effectExtent b="0" l="0" r="0" t="0"/>
            <wp:docPr descr=""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End w:id="22"/>
    <w:bookmarkStart w:id="26"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bookmarkStart w:id="25" w:name="版心几何与行高约束"/>
    <w:p>
      <w:pPr>
        <w:pStyle w:val="Heading2"/>
      </w:pPr>
      <w:r>
        <w:t xml:space="preserve">2.1 </w:t>
      </w:r>
      <w:r>
        <w:rPr>
          <w:rFonts w:hint="eastAsia"/>
        </w:rPr>
        <w:t xml:space="preserve">版心几何与行高约束</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w:t>
        </w:r>
        <w:r>
          <w:rPr>
            <w:rStyle w:val="Hyperlink"/>
          </w:rPr>
          <w:t xml:space="preserve"> 2.1</w:t>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353"/>
        <w:gridCol w:w="5752"/>
        <w:gridCol w:w="1353"/>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r>
              </m:oMath>
            </m:oMathPara>
            <w:bookmarkStart w:id="23" w:name="eq-dynamics"/>
            <w:bookmarkEnd w:id="23"/>
          </w:p>
        </w:tc>
        <w:tc>
          <w:tcPr>
            <w:tcW w:w="800" w:type="pct"/>
            <w:vAlign w:val="center"/>
          </w:tcPr>
          <w:p>
            <w:pPr>
              <w:pStyle w:val="BodyText"/>
              <w:jc w:val="right"/>
              <w:spacing w:before="0" w:after="0"/>
            </w:pPr>
            <w:r>
              <w:t>(2.1)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353"/>
        <w:gridCol w:w="5752"/>
        <w:gridCol w:w="1353"/>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r>
              </m:oMath>
            </m:oMathPara>
            <w:bookmarkStart w:id="24" w:name="eq-bellman"/>
            <w:bookmarkEnd w:id="24"/>
          </w:p>
        </w:tc>
        <w:tc>
          <w:tcPr>
            <w:tcW w:w="800" w:type="pct"/>
            <w:vAlign w:val="center"/>
          </w:tcPr>
          <w:p>
            <w:pPr>
              <w:pStyle w:val="BodyText"/>
              <w:jc w:val="right"/>
              <w:spacing w:before="0" w:after="0"/>
            </w:pPr>
            <w:r>
              <w:t>(2.2)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w:t>
      </w:r>
      <w:hyperlink w:anchor="ref-ecma376">
        <w:r>
          <w:rPr>
            <w:rStyle w:val="Hyperlink"/>
            <w:vertAlign w:val="superscript"/>
          </w:rPr>
          <w:t xml:space="preserve">2</w:t>
        </w:r>
      </w:hyperlink>
      <w:r>
        <w:rPr>
          <w:vertAlign w:val="superscript"/>
        </w:rPr>
        <w:t xml:space="preserve">]</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5"/>
    <w:bookmarkEnd w:id="26"/>
    <w:bookmarkStart w:id="32" w:name="第三章-规范实现与对比验证"/>
    <w:p>
      <w:pPr>
        <w:pStyle w:val="Heading1"/>
      </w:pPr>
      <w:r>
        <w:rPr>
          <w:rFonts w:hint="eastAsia"/>
        </w:rPr>
        <w:t xml:space="preserve">第三章</w:t>
      </w:r>
      <w:r>
        <w:t xml:space="preserve"> </w:t>
      </w:r>
      <w:r>
        <w:rPr>
          <w:rFonts w:hint="eastAsia"/>
        </w:rPr>
        <w:t xml:space="preserve">规范实现与对比验证</w:t>
      </w:r>
    </w:p>
    <w:bookmarkStart w:id="30" w:name="质量门禁的执行流程"/>
    <w:p>
      <w:pPr>
        <w:pStyle w:val="Heading2"/>
      </w:pPr>
      <w:r>
        <w:t xml:space="preserve">3.1 </w:t>
      </w:r>
      <w:r>
        <w:rPr>
          <w:rFonts w:hint="eastAsia"/>
        </w:rPr>
        <w:t xml:space="preserve">质量门禁的执行流程</w:t>
      </w:r>
    </w:p>
    <w:p>
      <w:pPr>
        <w:pStyle w:val="FirstParagraph"/>
      </w:pPr>
      <w:r>
        <w:rPr>
          <w:rFonts w:hint="eastAsia"/>
        </w:rPr>
        <w:t xml:space="preserve">自动化编译与质量门禁的执行流程如图</w:t>
      </w:r>
      <w:r>
        <w:t xml:space="preserve"> 2 </w:t>
      </w:r>
      <w:r>
        <w:rPr>
          <w:rFonts w:hint="eastAsia"/>
        </w:rPr>
        <w:t xml:space="preserve">所示：三道门禁分别落在编译前、产物生成后与最终对账三个位置，任一道不通过即中止导出并指出行号。</w:t>
      </w:r>
    </w:p>
    <w:p>
      <w:pPr>
        <w:pStyle w:val="BodyText"/>
      </w:pPr>
      <w:r>
        <w:drawing>
          <wp:inline>
            <wp:extent cx="4679999" cy="2239477"/>
            <wp:effectExtent b="0" l="0" r="0" t="0"/>
            <wp:docPr descr="" title="" id="28" name="Picture"/>
            <a:graphic>
              <a:graphicData uri="http://schemas.openxmlformats.org/drawingml/2006/picture">
                <pic:pic>
                  <pic:nvPicPr>
                    <pic:cNvPr descr="figures/qa_pipeline.png" id="29" name="Picture"/>
                    <pic:cNvPicPr>
                      <a:picLocks noChangeArrowheads="1" noChangeAspect="1"/>
                    </pic:cNvPicPr>
                  </pic:nvPicPr>
                  <pic:blipFill>
                    <a:blip r:embed="rId27"/>
                    <a:stretch>
                      <a:fillRect/>
                    </a:stretch>
                  </pic:blipFill>
                  <pic:spPr bwMode="auto">
                    <a:xfrm>
                      <a:off x="0" y="0"/>
                      <a:ext cx="4679999" cy="2239477"/>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排版自动化流水线质量门禁与逐条对账流程</w:t>
      </w:r>
    </w:p>
    <w:bookmarkEnd w:id="30"/>
    <w:bookmarkStart w:id="31" w:name="与主流方案的特性对照"/>
    <w:p>
      <w:pPr>
        <w:pStyle w:val="Heading2"/>
      </w:pPr>
      <w:r>
        <w:t xml:space="preserve">3.2 </w:t>
      </w:r>
      <w:r>
        <w:rPr>
          <w:rFonts w:hint="eastAsia"/>
        </w:rPr>
        <w:t xml:space="preserve">与主流方案的特性对照</w:t>
      </w:r>
    </w:p>
    <w:p>
      <w:pPr>
        <w:pStyle w:val="FirstParagraph"/>
      </w:pPr>
      <w:r>
        <w:rPr>
          <w:rFonts w:hint="eastAsia"/>
        </w:rPr>
        <w:t xml:space="preserve">在涵盖高校学位论文核心要素（双线页眉、跨节页码、三线表、带编号公式、GB/T</w:t>
      </w:r>
      <w:r>
        <w:t xml:space="preserve"> 7714 </w:t>
      </w:r>
      <w:r>
        <w:rPr>
          <w:rFonts w:hint="eastAsia"/>
        </w:rPr>
        <w:t xml:space="preserve">文献）的场景下，各方案在</w:t>
      </w:r>
      <w:r>
        <w:rPr>
          <w:rFonts w:hint="eastAsia"/>
          <w:b/>
          <w:bCs/>
        </w:rPr>
        <w:t xml:space="preserve">默认导出路径</w:t>
      </w:r>
      <w:r>
        <w:rPr>
          <w:rFonts w:hint="eastAsia"/>
        </w:rPr>
        <w:t xml:space="preserve">下的特性对照如表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主流方案在中文学术规范场景下的特性对照</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排版要素</w:t>
            </w:r>
          </w:p>
        </w:tc>
        <w:tc>
          <w:tcPr/>
          <w:p>
            <w:pPr>
              <w:pStyle w:val="Compact"/>
              <w:jc w:val="center"/>
            </w:pPr>
            <w:r>
              <w:t xml:space="preserve">Pandoc </w:t>
            </w:r>
            <w:r>
              <w:rPr>
                <w:rFonts w:hint="eastAsia"/>
              </w:rPr>
              <w:t xml:space="preserve">默认</w:t>
            </w:r>
          </w:p>
        </w:tc>
        <w:tc>
          <w:tcPr/>
          <w:p>
            <w:pPr>
              <w:pStyle w:val="Compact"/>
              <w:jc w:val="center"/>
            </w:pPr>
            <w:r>
              <w:t xml:space="preserve">Quarto </w:t>
            </w:r>
            <w:r>
              <w:rPr>
                <w:rFonts w:hint="eastAsia"/>
              </w:rPr>
              <w:t xml:space="preserve">默认</w:t>
            </w:r>
          </w:p>
        </w:tc>
        <w:tc>
          <w:tcPr/>
          <w:p>
            <w:pPr>
              <w:pStyle w:val="Compact"/>
              <w:jc w:val="center"/>
            </w:pPr>
            <w:r>
              <w:t xml:space="preserve">Word </w:t>
            </w:r>
            <w:r>
              <w:rPr>
                <w:rFonts w:hint="eastAsia"/>
              </w:rPr>
              <w:t xml:space="preserve">手工</w:t>
            </w:r>
          </w:p>
        </w:tc>
        <w:tc>
          <w:tcPr/>
          <w:p>
            <w:pPr>
              <w:pStyle w:val="Compact"/>
              <w:jc w:val="center"/>
            </w:pPr>
            <w:r>
              <w:rPr>
                <w:rFonts w:hint="eastAsia"/>
              </w:rPr>
              <w:t xml:space="preserve">本文方案</w:t>
            </w:r>
          </w:p>
        </w:tc>
      </w:tr>
      <w:tr>
        <w:tc>
          <w:tcPr/>
          <w:p>
            <w:pPr>
              <w:pStyle w:val="Compact"/>
              <w:jc w:val="left"/>
            </w:pPr>
            <w:r>
              <w:rPr>
                <w:rFonts w:hint="eastAsia"/>
              </w:rPr>
              <w:t xml:space="preserve">中西文字体分离</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中文号数与首行缩进</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全文校对语言</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学术三线表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逐表设</w:t>
            </w:r>
          </w:p>
        </w:tc>
        <w:tc>
          <w:tcPr/>
          <w:p>
            <w:pPr>
              <w:pStyle w:val="Compact"/>
              <w:jc w:val="center"/>
            </w:pPr>
            <w:r>
              <w:rPr>
                <w:rFonts w:hint="eastAsia"/>
              </w:rPr>
              <w:t xml:space="preserve">声明一行</w:t>
            </w:r>
          </w:p>
        </w:tc>
      </w:tr>
      <w:tr>
        <w:tc>
          <w:tcPr/>
          <w:p>
            <w:pPr>
              <w:pStyle w:val="Compact"/>
              <w:jc w:val="left"/>
            </w:pPr>
            <w:r>
              <w:rPr>
                <w:rFonts w:hint="eastAsia"/>
              </w:rPr>
              <w:t xml:space="preserve">全网格数据表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逐表调</w:t>
            </w:r>
          </w:p>
        </w:tc>
        <w:tc>
          <w:tcPr/>
          <w:p>
            <w:pPr>
              <w:pStyle w:val="Compact"/>
              <w:jc w:val="center"/>
            </w:pPr>
            <w:r>
              <w:rPr>
                <w:rFonts w:hint="eastAsia"/>
              </w:rPr>
              <w:t xml:space="preserve">声明一行</w:t>
            </w:r>
          </w:p>
        </w:tc>
      </w:tr>
      <w:tr>
        <w:tc>
          <w:tcPr/>
          <w:p>
            <w:pPr>
              <w:pStyle w:val="Compact"/>
              <w:jc w:val="left"/>
            </w:pPr>
            <w:r>
              <w:rPr>
                <w:rFonts w:hint="eastAsia"/>
              </w:rPr>
              <w:t xml:space="preserve">跨页重复表头</w:t>
            </w:r>
          </w:p>
        </w:tc>
        <w:tc>
          <w:tcPr/>
          <w:p>
            <w:pPr>
              <w:pStyle w:val="Compact"/>
              <w:jc w:val="center"/>
            </w:pPr>
            <w:r>
              <w:rPr>
                <w:rFonts w:hint="eastAsia"/>
              </w:rPr>
              <w:t xml:space="preserve">默认即有</w:t>
            </w:r>
          </w:p>
        </w:tc>
        <w:tc>
          <w:tcPr/>
          <w:p>
            <w:pPr>
              <w:pStyle w:val="Compact"/>
              <w:jc w:val="center"/>
            </w:pPr>
            <w:r>
              <w:rPr>
                <w:rFonts w:hint="eastAsia"/>
              </w:rPr>
              <w:t xml:space="preserve">默认即有</w:t>
            </w:r>
          </w:p>
        </w:tc>
        <w:tc>
          <w:tcPr/>
          <w:p>
            <w:pPr>
              <w:pStyle w:val="Compact"/>
              <w:jc w:val="center"/>
            </w:pPr>
            <w:r>
              <w:rPr>
                <w:rFonts w:hint="eastAsia"/>
              </w:rPr>
              <w:t xml:space="preserve">逐表勾选</w:t>
            </w:r>
          </w:p>
        </w:tc>
        <w:tc>
          <w:tcPr/>
          <w:p>
            <w:pPr>
              <w:pStyle w:val="Compact"/>
              <w:jc w:val="center"/>
            </w:pPr>
            <w:r>
              <w:rPr>
                <w:rFonts w:hint="eastAsia"/>
              </w:rPr>
              <w:t xml:space="preserve">可显式声明</w:t>
            </w:r>
          </w:p>
        </w:tc>
      </w:tr>
      <w:tr>
        <w:tc>
          <w:tcPr/>
          <w:p>
            <w:pPr>
              <w:pStyle w:val="Compact"/>
              <w:jc w:val="left"/>
            </w:pPr>
            <w:r>
              <w:rPr>
                <w:rFonts w:hint="eastAsia"/>
              </w:rPr>
              <w:t xml:space="preserve">双线章名页眉</w:t>
            </w:r>
          </w:p>
        </w:tc>
        <w:tc>
          <w:tcPr/>
          <w:p>
            <w:pPr>
              <w:pStyle w:val="Compact"/>
              <w:jc w:val="center"/>
            </w:pPr>
            <w:r>
              <w:rPr>
                <w:rFonts w:hint="eastAsia"/>
              </w:rPr>
              <w:t xml:space="preserve">须改底模插域</w:t>
            </w:r>
          </w:p>
        </w:tc>
        <w:tc>
          <w:tcPr/>
          <w:p>
            <w:pPr>
              <w:pStyle w:val="Compact"/>
              <w:jc w:val="center"/>
            </w:pPr>
            <w:r>
              <w:rPr>
                <w:rFonts w:hint="eastAsia"/>
              </w:rPr>
              <w:t xml:space="preserve">须改底模插域</w:t>
            </w:r>
          </w:p>
        </w:tc>
        <w:tc>
          <w:tcPr/>
          <w:p>
            <w:pPr>
              <w:pStyle w:val="Compact"/>
              <w:jc w:val="center"/>
            </w:pPr>
            <w:r>
              <w:rPr>
                <w:rFonts w:hint="eastAsia"/>
              </w:rPr>
              <w:t xml:space="preserve">逐节断开</w:t>
            </w:r>
          </w:p>
        </w:tc>
        <w:tc>
          <w:tcPr/>
          <w:p>
            <w:pPr>
              <w:pStyle w:val="Compact"/>
              <w:jc w:val="center"/>
            </w:pPr>
            <w:r>
              <w:rPr>
                <w:rFonts w:hint="eastAsia"/>
              </w:rPr>
              <w:t xml:space="preserve">声明一行</w:t>
            </w:r>
          </w:p>
        </w:tc>
      </w:tr>
      <w:tr>
        <w:tc>
          <w:tcPr/>
          <w:p>
            <w:pPr>
              <w:pStyle w:val="Compact"/>
              <w:jc w:val="left"/>
            </w:pPr>
            <w:r>
              <w:rPr>
                <w:rFonts w:hint="eastAsia"/>
              </w:rPr>
              <w:t xml:space="preserve">罗马/阿拉伯分节</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手工插</w:t>
            </w:r>
          </w:p>
        </w:tc>
        <w:tc>
          <w:tcPr/>
          <w:p>
            <w:pPr>
              <w:pStyle w:val="Compact"/>
              <w:jc w:val="center"/>
            </w:pPr>
            <w:r>
              <w:rPr>
                <w:rFonts w:hint="eastAsia"/>
              </w:rPr>
              <w:t xml:space="preserve">声明一行</w:t>
            </w:r>
          </w:p>
        </w:tc>
      </w:tr>
      <w:tr>
        <w:tc>
          <w:tcPr/>
          <w:p>
            <w:pPr>
              <w:pStyle w:val="Compact"/>
              <w:jc w:val="left"/>
            </w:pPr>
            <w:r>
              <w:t xml:space="preserve">Word </w:t>
            </w:r>
            <w:r>
              <w:rPr>
                <w:rFonts w:hint="eastAsia"/>
              </w:rPr>
              <w:t xml:space="preserve">原生目录</w:t>
            </w:r>
          </w:p>
        </w:tc>
        <w:tc>
          <w:tcPr/>
          <w:p>
            <w:pPr>
              <w:pStyle w:val="Compact"/>
              <w:jc w:val="center"/>
            </w:pPr>
            <w:r>
              <w:rPr>
                <w:rFonts w:hint="eastAsia"/>
              </w:rPr>
              <w:t xml:space="preserve">有域，须改底模</w:t>
            </w:r>
          </w:p>
        </w:tc>
        <w:tc>
          <w:tcPr/>
          <w:p>
            <w:pPr>
              <w:pStyle w:val="Compact"/>
              <w:jc w:val="center"/>
            </w:pPr>
            <w:r>
              <w:rPr>
                <w:rFonts w:hint="eastAsia"/>
              </w:rPr>
              <w:t xml:space="preserve">有域，须改底模</w:t>
            </w:r>
          </w:p>
        </w:tc>
        <w:tc>
          <w:tcPr/>
          <w:p>
            <w:pPr>
              <w:pStyle w:val="Compact"/>
              <w:jc w:val="center"/>
            </w:pPr>
            <w:r>
              <w:rPr>
                <w:rFonts w:hint="eastAsia"/>
              </w:rPr>
              <w:t xml:space="preserve">手工插域</w:t>
            </w:r>
          </w:p>
        </w:tc>
        <w:tc>
          <w:tcPr/>
          <w:p>
            <w:pPr>
              <w:pStyle w:val="Compact"/>
              <w:jc w:val="center"/>
            </w:pPr>
            <w:r>
              <w:rPr>
                <w:rFonts w:hint="eastAsia"/>
              </w:rPr>
              <w:t xml:space="preserve">声明一行</w:t>
            </w:r>
          </w:p>
        </w:tc>
      </w:tr>
      <w:tr>
        <w:tc>
          <w:tcPr/>
          <w:p>
            <w:pPr>
              <w:pStyle w:val="Compact"/>
              <w:jc w:val="left"/>
            </w:pPr>
            <w:r>
              <w:rPr>
                <w:rFonts w:hint="eastAsia"/>
              </w:rPr>
              <w:t xml:space="preserve">目录点线与缩进</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逐条调</w:t>
            </w:r>
          </w:p>
        </w:tc>
        <w:tc>
          <w:tcPr/>
          <w:p>
            <w:pPr>
              <w:pStyle w:val="Compact"/>
              <w:jc w:val="center"/>
            </w:pPr>
            <w:r>
              <w:rPr>
                <w:rFonts w:hint="eastAsia"/>
              </w:rPr>
              <w:t xml:space="preserve">声明一行</w:t>
            </w:r>
          </w:p>
        </w:tc>
      </w:tr>
      <w:tr>
        <w:tc>
          <w:tcPr/>
          <w:p>
            <w:pPr>
              <w:pStyle w:val="Compact"/>
              <w:jc w:val="left"/>
            </w:pPr>
            <w:r>
              <w:rPr>
                <w:rFonts w:hint="eastAsia"/>
              </w:rPr>
              <w:t xml:space="preserve">公式居中＋编号靠右</w:t>
            </w:r>
          </w:p>
        </w:tc>
        <w:tc>
          <w:tcPr/>
          <w:p>
            <w:pPr>
              <w:pStyle w:val="Compact"/>
              <w:jc w:val="center"/>
            </w:pPr>
            <w:r>
              <w:rPr>
                <w:rFonts w:hint="eastAsia"/>
              </w:rPr>
              <w:t xml:space="preserve">无编号</w:t>
            </w:r>
          </w:p>
        </w:tc>
        <w:tc>
          <w:tcPr/>
          <w:p>
            <w:pPr>
              <w:pStyle w:val="Compact"/>
              <w:jc w:val="center"/>
            </w:pPr>
            <w:r>
              <w:rPr>
                <w:rFonts w:hint="eastAsia"/>
              </w:rPr>
              <w:t xml:space="preserve">编号跟随尾部</w:t>
            </w:r>
          </w:p>
        </w:tc>
        <w:tc>
          <w:tcPr/>
          <w:p>
            <w:pPr>
              <w:pStyle w:val="Compact"/>
              <w:jc w:val="center"/>
            </w:pPr>
            <w:r>
              <w:rPr>
                <w:rFonts w:hint="eastAsia"/>
              </w:rPr>
              <w:t xml:space="preserve">手设制表位</w:t>
            </w:r>
          </w:p>
        </w:tc>
        <w:tc>
          <w:tcPr/>
          <w:p>
            <w:pPr>
              <w:pStyle w:val="Compact"/>
              <w:jc w:val="center"/>
            </w:pPr>
            <w:r>
              <w:rPr>
                <w:rFonts w:hint="eastAsia"/>
              </w:rPr>
              <w:t xml:space="preserve">自动对齐</w:t>
            </w:r>
          </w:p>
        </w:tc>
      </w:tr>
      <w:tr>
        <w:tc>
          <w:tcPr/>
          <w:p>
            <w:pPr>
              <w:pStyle w:val="Compact"/>
              <w:jc w:val="left"/>
            </w:pPr>
            <w:r>
              <w:rPr>
                <w:rFonts w:hint="eastAsia"/>
              </w:rPr>
              <w:t xml:space="preserve">公式按章编号</w:t>
            </w:r>
          </w:p>
        </w:tc>
        <w:tc>
          <w:tcPr/>
          <w:p>
            <w:pPr>
              <w:pStyle w:val="Compact"/>
              <w:jc w:val="center"/>
            </w:pPr>
            <w:r>
              <w:rPr>
                <w:rFonts w:hint="eastAsia"/>
              </w:rPr>
              <w:t xml:space="preserve">不支持</w:t>
            </w:r>
          </w:p>
        </w:tc>
        <w:tc>
          <w:tcPr/>
          <w:p>
            <w:pPr>
              <w:pStyle w:val="Compact"/>
              <w:jc w:val="center"/>
            </w:pPr>
            <w:r>
              <w:rPr>
                <w:rFonts w:hint="eastAsia"/>
              </w:rPr>
              <w:t xml:space="preserve">支持</w:t>
            </w:r>
          </w:p>
        </w:tc>
        <w:tc>
          <w:tcPr/>
          <w:p>
            <w:pPr>
              <w:pStyle w:val="Compact"/>
              <w:jc w:val="center"/>
            </w:pPr>
            <w:r>
              <w:rPr>
                <w:rFonts w:hint="eastAsia"/>
              </w:rPr>
              <w:t xml:space="preserve">手打</w:t>
            </w:r>
          </w:p>
        </w:tc>
        <w:tc>
          <w:tcPr/>
          <w:p>
            <w:pPr>
              <w:pStyle w:val="Compact"/>
              <w:jc w:val="center"/>
            </w:pPr>
            <w:r>
              <w:rPr>
                <w:rFonts w:hint="eastAsia"/>
              </w:rPr>
              <w:t xml:space="preserve">开个开关</w:t>
            </w:r>
          </w:p>
        </w:tc>
      </w:tr>
      <w:tr>
        <w:tc>
          <w:tcPr/>
          <w:p>
            <w:pPr>
              <w:pStyle w:val="Compact"/>
              <w:jc w:val="left"/>
            </w:pPr>
            <w:r>
              <w:rPr>
                <w:rFonts w:hint="eastAsia"/>
              </w:rPr>
              <w:t xml:space="preserve">图表交叉引用</w:t>
            </w:r>
          </w:p>
        </w:tc>
        <w:tc>
          <w:tcPr/>
          <w:p>
            <w:pPr>
              <w:pStyle w:val="Compact"/>
              <w:jc w:val="center"/>
            </w:pPr>
            <w:r>
              <w:rPr>
                <w:rFonts w:hint="eastAsia"/>
              </w:rPr>
              <w:t xml:space="preserve">不支持</w:t>
            </w:r>
          </w:p>
        </w:tc>
        <w:tc>
          <w:tcPr/>
          <w:p>
            <w:pPr>
              <w:pStyle w:val="Compact"/>
              <w:jc w:val="center"/>
            </w:pPr>
            <w:r>
              <w:rPr>
                <w:rFonts w:hint="eastAsia"/>
              </w:rPr>
              <w:t xml:space="preserve">图片会掉样式</w:t>
            </w:r>
          </w:p>
        </w:tc>
        <w:tc>
          <w:tcPr/>
          <w:p>
            <w:pPr>
              <w:pStyle w:val="Compact"/>
              <w:jc w:val="center"/>
            </w:pPr>
            <w:r>
              <w:rPr>
                <w:rFonts w:hint="eastAsia"/>
              </w:rPr>
              <w:t xml:space="preserve">手工编号</w:t>
            </w:r>
          </w:p>
        </w:tc>
        <w:tc>
          <w:tcPr/>
          <w:p>
            <w:pPr>
              <w:pStyle w:val="Compact"/>
              <w:jc w:val="center"/>
            </w:pPr>
            <w:r>
              <w:rPr>
                <w:rFonts w:hint="eastAsia"/>
              </w:rPr>
              <w:t xml:space="preserve">手写图号</w:t>
            </w:r>
          </w:p>
        </w:tc>
      </w:tr>
      <w:tr>
        <w:tc>
          <w:tcPr/>
          <w:p>
            <w:pPr>
              <w:pStyle w:val="Compact"/>
              <w:jc w:val="left"/>
            </w:pPr>
            <w:r>
              <w:rPr>
                <w:rFonts w:hint="eastAsia"/>
              </w:rPr>
              <w:t xml:space="preserve">参考文献排版</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不支持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引用可点击跳转</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手工插书签</w:t>
            </w:r>
          </w:p>
        </w:tc>
        <w:tc>
          <w:tcPr/>
          <w:p>
            <w:pPr>
              <w:pStyle w:val="Compact"/>
              <w:jc w:val="center"/>
            </w:pPr>
            <w:r>
              <w:rPr>
                <w:rFonts w:hint="eastAsia"/>
              </w:rPr>
              <w:t xml:space="preserve">默认开启</w:t>
            </w:r>
          </w:p>
        </w:tc>
      </w:tr>
      <w:tr>
        <w:tc>
          <w:tcPr/>
          <w:p>
            <w:pPr>
              <w:pStyle w:val="Compact"/>
              <w:jc w:val="left"/>
            </w:pPr>
            <w:r>
              <w:rPr>
                <w:rFonts w:hint="eastAsia"/>
              </w:rPr>
              <w:t xml:space="preserve">脚注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引用块样式</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图片题注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手动编号</w:t>
            </w:r>
          </w:p>
        </w:tc>
        <w:tc>
          <w:tcPr/>
          <w:p>
            <w:pPr>
              <w:pStyle w:val="Compact"/>
              <w:jc w:val="center"/>
            </w:pPr>
            <w:r>
              <w:rPr>
                <w:rFonts w:hint="eastAsia"/>
              </w:rPr>
              <w:t xml:space="preserve">声明一行</w:t>
            </w:r>
          </w:p>
        </w:tc>
      </w:tr>
      <w:tr>
        <w:tc>
          <w:tcPr/>
          <w:p>
            <w:pPr>
              <w:pStyle w:val="Compact"/>
              <w:jc w:val="left"/>
            </w:pPr>
            <w:r>
              <w:rPr>
                <w:rFonts w:hint="eastAsia"/>
              </w:rPr>
              <w:t xml:space="preserve">页码格式与起始</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奇偶页不同页眉</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逐个设</w:t>
            </w:r>
          </w:p>
        </w:tc>
        <w:tc>
          <w:tcPr/>
          <w:p>
            <w:pPr>
              <w:pStyle w:val="Compact"/>
              <w:jc w:val="center"/>
            </w:pPr>
            <w:r>
              <w:rPr>
                <w:rFonts w:hint="eastAsia"/>
              </w:rPr>
              <w:t xml:space="preserve">声明一行</w:t>
            </w:r>
          </w:p>
        </w:tc>
      </w:tr>
      <w:tr>
        <w:tc>
          <w:tcPr/>
          <w:p>
            <w:pPr>
              <w:pStyle w:val="Compact"/>
              <w:jc w:val="left"/>
            </w:pPr>
            <w:r>
              <w:rPr>
                <w:rFonts w:hint="eastAsia"/>
              </w:rPr>
              <w:t xml:space="preserve">首页不同页脚</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表格单元格内边距</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逐格调</w:t>
            </w:r>
          </w:p>
        </w:tc>
        <w:tc>
          <w:tcPr/>
          <w:p>
            <w:pPr>
              <w:pStyle w:val="Compact"/>
              <w:jc w:val="center"/>
            </w:pPr>
            <w:r>
              <w:rPr>
                <w:rFonts w:hint="eastAsia"/>
              </w:rPr>
              <w:t xml:space="preserve">声明一行</w:t>
            </w:r>
          </w:p>
        </w:tc>
      </w:tr>
      <w:tr>
        <w:tc>
          <w:tcPr/>
          <w:p>
            <w:pPr>
              <w:pStyle w:val="Compact"/>
              <w:jc w:val="left"/>
            </w:pPr>
            <w:r>
              <w:rPr>
                <w:rFonts w:hint="eastAsia"/>
              </w:rPr>
              <w:t xml:space="preserve">页眉页脚距边界</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图片宽度与居中</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逐张调</w:t>
            </w:r>
          </w:p>
        </w:tc>
        <w:tc>
          <w:tcPr/>
          <w:p>
            <w:pPr>
              <w:pStyle w:val="Compact"/>
              <w:jc w:val="center"/>
            </w:pPr>
            <w:r>
              <w:rPr>
                <w:rFonts w:hint="eastAsia"/>
              </w:rPr>
              <w:t xml:space="preserve">声明一行</w:t>
            </w:r>
          </w:p>
        </w:tc>
      </w:tr>
      <w:tr>
        <w:tc>
          <w:tcPr/>
          <w:p>
            <w:pPr>
              <w:pStyle w:val="Compact"/>
              <w:jc w:val="left"/>
            </w:pPr>
            <w:r>
              <w:rPr>
                <w:rFonts w:hint="eastAsia"/>
              </w:rPr>
              <w:t xml:space="preserve">字体自由指定</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规则可声明进</w:t>
            </w:r>
            <w:r>
              <w:t xml:space="preserve"> Git</w:t>
            </w:r>
          </w:p>
        </w:tc>
        <w:tc>
          <w:tcPr/>
          <w:p>
            <w:pPr>
              <w:pStyle w:val="Compact"/>
              <w:jc w:val="center"/>
            </w:pPr>
            <w:r>
              <w:rPr>
                <w:rFonts w:hint="eastAsia"/>
              </w:rPr>
              <w:t xml:space="preserve">散在手工操作里</w:t>
            </w:r>
          </w:p>
        </w:tc>
        <w:tc>
          <w:tcPr/>
          <w:p>
            <w:pPr>
              <w:pStyle w:val="Compact"/>
              <w:jc w:val="center"/>
            </w:pPr>
            <w:r>
              <w:rPr>
                <w:rFonts w:hint="eastAsia"/>
              </w:rPr>
              <w:t xml:space="preserve">同左</w:t>
            </w:r>
          </w:p>
        </w:tc>
        <w:tc>
          <w:tcPr/>
          <w:p>
            <w:pPr>
              <w:pStyle w:val="Compact"/>
              <w:jc w:val="center"/>
            </w:pPr>
            <w:r>
              <w:rPr>
                <w:rFonts w:hint="eastAsia"/>
              </w:rPr>
              <w:t xml:space="preserve">不可</w:t>
            </w:r>
          </w:p>
        </w:tc>
        <w:tc>
          <w:tcPr/>
          <w:p>
            <w:pPr>
              <w:pStyle w:val="Compact"/>
              <w:jc w:val="center"/>
            </w:pPr>
            <w:r>
              <w:rPr>
                <w:rFonts w:hint="eastAsia"/>
              </w:rPr>
              <w:t xml:space="preserve">一个规则文件</w:t>
            </w:r>
          </w:p>
        </w:tc>
      </w:tr>
      <w:tr>
        <w:tc>
          <w:tcPr/>
          <w:p>
            <w:pPr>
              <w:pStyle w:val="Compact"/>
              <w:jc w:val="left"/>
            </w:pPr>
            <w:r>
              <w:rPr>
                <w:rFonts w:hint="eastAsia"/>
              </w:rPr>
              <w:t xml:space="preserve">报错还是静默走样</w:t>
            </w:r>
          </w:p>
        </w:tc>
        <w:tc>
          <w:tcPr/>
          <w:p>
            <w:pPr>
              <w:pStyle w:val="Compact"/>
              <w:jc w:val="center"/>
            </w:pPr>
            <w:r>
              <w:rPr>
                <w:rFonts w:hint="eastAsia"/>
              </w:rPr>
              <w:t xml:space="preserve">多为静默</w:t>
            </w:r>
          </w:p>
        </w:tc>
        <w:tc>
          <w:tcPr/>
          <w:p>
            <w:pPr>
              <w:pStyle w:val="Compact"/>
              <w:jc w:val="center"/>
            </w:pPr>
            <w:r>
              <w:rPr>
                <w:rFonts w:hint="eastAsia"/>
              </w:rPr>
              <w:t xml:space="preserve">多为静默</w:t>
            </w:r>
          </w:p>
        </w:tc>
        <w:tc>
          <w:tcPr/>
          <w:p>
            <w:pPr>
              <w:pStyle w:val="Compact"/>
              <w:jc w:val="center"/>
            </w:pPr>
            <w:r>
              <w:rPr>
                <w:rFonts w:hint="eastAsia"/>
              </w:rPr>
              <w:t xml:space="preserve">靠肉眼</w:t>
            </w:r>
          </w:p>
        </w:tc>
        <w:tc>
          <w:tcPr/>
          <w:p>
            <w:pPr>
              <w:pStyle w:val="Compact"/>
              <w:jc w:val="center"/>
            </w:pPr>
            <w:r>
              <w:rPr>
                <w:rFonts w:hint="eastAsia"/>
              </w:rPr>
              <w:t xml:space="preserve">预检指行号</w:t>
            </w:r>
          </w:p>
        </w:tc>
      </w:tr>
      <w:tr>
        <w:tc>
          <w:tcPr/>
          <w:p>
            <w:pPr>
              <w:pStyle w:val="Compact"/>
              <w:jc w:val="left"/>
            </w:pPr>
            <w:r>
              <w:rPr>
                <w:rFonts w:hint="eastAsia"/>
              </w:rPr>
              <w:t xml:space="preserve">交付前的质量门禁</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三道</w:t>
            </w:r>
          </w:p>
        </w:tc>
      </w:tr>
    </w:tbl>
    <w:p>
      <w:pPr>
        <w:pStyle w:val="TableNote"/>
      </w:pPr>
      <w:r>
        <w:rPr>
          <w:rFonts w:hint="eastAsia"/>
        </w:rPr>
        <w:t xml:space="preserve">注：判定以各家</w:t>
      </w:r>
      <w:r>
        <w:rPr>
          <w:rFonts w:hint="eastAsia"/>
          <w:b/>
          <w:bCs/>
        </w:rPr>
        <w:t xml:space="preserve">默认导出</w:t>
      </w:r>
      <w:r>
        <w:rPr>
          <w:rFonts w:hint="eastAsia"/>
        </w:rPr>
        <w:t xml:space="preserve">为准（不装模板、不写</w:t>
      </w:r>
      <w:r>
        <w:t xml:space="preserve"> </w:t>
      </w:r>
      <w:r>
        <w:rPr>
          <w:rFonts w:hint="eastAsia"/>
        </w:rPr>
        <w:t xml:space="preserve">filter）；「默认即有」为如实标注——跨页重复表头这类能力</w:t>
      </w:r>
      <w:r>
        <w:t xml:space="preserve"> Pandoc </w:t>
      </w:r>
      <w:r>
        <w:rPr>
          <w:rFonts w:hint="eastAsia"/>
        </w:rPr>
        <w:t xml:space="preserve">与</w:t>
      </w:r>
      <w:r>
        <w:t xml:space="preserve"> Quarto </w:t>
      </w:r>
      <w:r>
        <w:rPr>
          <w:rFonts w:hint="eastAsia"/>
        </w:rPr>
        <w:t xml:space="preserve">本就提供。本方案的差异不在单项有无，而在全部要素由同一份声明式规则文件统一描述。</w:t>
      </w:r>
    </w:p>
    <w:p>
      <w:pPr>
        <w:pStyle w:val="BodyText"/>
      </w:pPr>
      <w:r>
        <w:rPr>
          <w:rFonts w:hint="eastAsia"/>
        </w:rPr>
        <w:t xml:space="preserve">对照结果证实，相较于传统工具方案，本文提出的</w:t>
      </w:r>
      <w:r>
        <w:t xml:space="preserve"> md-to-word </w:t>
      </w:r>
      <w:r>
        <w:rPr>
          <w:rFonts w:hint="eastAsia"/>
        </w:rPr>
        <w:t xml:space="preserve">在保持纯文本写作灵活性的同时，补齐了中文学术规范所必需的排版能力，显著降低了科研写作在终稿交付阶段的时间损耗。</w:t>
      </w:r>
    </w:p>
    <w:bookmarkEnd w:id="31"/>
    <w:bookmarkEnd w:id="32"/>
    <w:bookmarkStart w:id="37"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6" w:name="refs"/>
    <w:bookmarkStart w:id="34" w:name="ref-macfarlane2020"/>
    <w:p>
      <w:pPr>
        <w:pStyle w:val="Bibliography"/>
      </w:pPr>
      <w:r>
        <w:t xml:space="preserve">[1]MACFARLANE J. Pandoc: A Universal Document Converter[M/OL]. GitHub repository, 2020.</w:t>
      </w:r>
      <w:r>
        <w:t xml:space="preserve"> </w:t>
      </w:r>
      <w:hyperlink r:id="rId33">
        <w:r>
          <w:rPr>
            <w:rStyle w:val="Hyperlink"/>
          </w:rPr>
          <w:t xml:space="preserve">https://pandoc.org</w:t>
        </w:r>
      </w:hyperlink>
      <w:r>
        <w:t xml:space="preserve">.</w:t>
      </w:r>
    </w:p>
    <w:bookmarkEnd w:id="34"/>
    <w:bookmarkStart w:id="35" w:name="ref-ecma376"/>
    <w:p>
      <w:pPr>
        <w:pStyle w:val="Bibliography"/>
      </w:pPr>
      <w:r>
        <w:t xml:space="preserve">[2]INTERNATIONAL E. Information technology – Document description and processing languages – Office Open XML File Formats (ECMA-376 5th edition)[A]. Geneva: ECMA International, 2021.</w:t>
      </w:r>
    </w:p>
    <w:bookmarkEnd w:id="35"/>
    <w:bookmarkEnd w:id="36"/>
    <w:bookmarkEnd w:id="37"/>
    <w:sectPr>
      <w:footerReference r:id="rId7" w:type="default"/>
      <w:headerReference r:id="rId8" w:type="default"/>
      <w:pgSz w:h="16838" w:w="11906"/>
      <w:pgMar w:bottom="1440" w:footer="720" w:gutter="0" w:header="720" w:left="2007" w:right="1440" w:top="1440"/>
      <w:pgNumType w:fmt="decimal" w:start="1"/>
      <w:cols w:space="720"/>
      <w:docGrid w:linePitch="42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pacing w:val="20"/>
      <w:sz w:val="44"/>
      <w:szCs w:val="44"/>
    </w:rPr>
  </w:style>
  <w:style w:styleId="TitleChar" w:type="character">
    <w:name w:val="Title Char"/>
    <w:basedOn w:val="DefaultParagraphFont"/>
    <w:link w:val="Title"/>
    <w:qFormat/>
    <w:rPr>
      <w:rFonts w:ascii="Times New Roman" w:eastAsia="黑体" w:hAnsi="Times New Roman"/>
      <w:b/>
      <w:i w:val="0"/>
      <w:color w:val="000000"/>
      <w:spacing w:val="2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hyperlink" Id="rId33"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33"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/Users/liusong/Desktop/md-to-word/src/md_to_word/resources/csl/chinese-gb7714-2015-numeric.csl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