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body>
    <w:p>
      <w:pPr>
        <w:pStyle w:val="Title"/>
      </w:pPr>
      <w:r>
        <w:t>基于声明式规则与 OOXML 重构的 Markdown 学术排版引擎设计与实现</w:t>
      </w:r>
    </w:p>
    <w:p>
      <w:pPr>
        <w:pStyle w:val="AbstractTitle"/>
      </w:pPr>
      <w:r>
        <w:t>摘要</w:t>
      </w:r>
    </w:p>
    <w:p>
      <w:pPr>
        <w:pStyle w:val="Abstract"/>
      </w:pPr>
      <w:r>
        <w:t>针对高校硕博学位论文与中文核心期刊严苛排版标准下，轻量标记语言向 Word 转换长期面临的“中西文字体混乱、公式编号难以右对齐、跨页表头缺失、动态目录无真实页码以及双线章名页眉断层”等核心瓶颈，本文提出了一种基于声明式中文规则与 OOXML 底层重构的自动化排版引擎。通过构建纯净 Word 365 基础模板，以段落级三段制表位实现数学公式居中与编号靠右对齐；利用原生动态域技术实现前置件独立小写罗马页码与正文双线章名页眉；并建立导前拦截、导后高精度对账与 XML 样式审计的三道确定性质量门禁。对照结果表明，所提方案消除了传统转换工具的排版伪影，并以导出前后的三道自动门禁替代了人工逐项核对，为科研工作者提供了兼顾 Git 纯文本版本管理优势与严谨学术排版标准的全新写作范式。</w:t>
      </w:r>
    </w:p>
    <w:p>
      <w:pPr>
        <w:pStyle w:val="Keywords"/>
      </w:pPr>
      <w:r>
        <w:t>学术排版；Markdown；Office Open XML；声明式规则；动态域；三线表；双线页眉</w:t>
      </w:r>
    </w:p>
    <w:p>
      <w:r>
        <w:br w:type="page"/>
      </w:r>
    </w:p>
    <w:p>
      <w:pPr>
        <w:pStyle w:val="TOCHeading"/>
      </w:pPr>
      <w:r>
        <w:t>目录</w:t>
      </w:r>
    </w:p>
    <w:sdt>
      <w:sdtPr>
        <w:docPartObj>
          <w:docPartGallery w:val="Table of Contents"/>
          <w:docPartUnique/>
        </w:docPartObj>
      </w:sdtPr>
      <w:sdtContent>
        <w:p>
          <w:r>
            <w:fldChar w:fldCharType="begin" w:dirty="true"/>
          </w:r>
          <w:r>
            <w:instrText xml:space="preserve"> TOC \o "1-2" \h \z \u </w:instrText>
          </w:r>
          <w:r>
            <w:fldChar w:fldCharType="separate"/>
          </w:r>
          <w:r>
            <w:t>（打开文档后目录会自动生成）</w:t>
          </w:r>
          <w:r>
            <w:fldChar w:fldCharType="end"/>
          </w:r>
        </w:p>
      </w:sdtContent>
    </w:sdt>
    <w:p>
      <w:r>
        <w:br w:type="page"/>
      </w:r>
    </w:p>
    <w:p>
      <w:pPr>
        <w:sectPr>
          <w:footerReference w:type="default" r:id="rId7"/>
          <w:type w:val="nextPage"/>
          <w:pgSz w:w="11906" w:h="16838"/>
          <w:pgMar w:top="1440" w:right="1440" w:bottom="1440" w:left="2007" w:header="720" w:footer="720" w:gutter="0"/>
          <w:pgNumType w:fmt="lowerRoman" w:start="1"/>
          <w:cols w:space="720"/>
          <w:docGrid w:linePitch="422" w:type="lines"/>
        </w:sectPr>
      </w:pPr>
    </w:p>
    <w:p>
      <w:pPr>
        <w:pStyle w:val="Heading1"/>
      </w:pPr>
      <w:r>
        <w:t>第一章 绪论</w:t>
      </w:r>
    </w:p>
    <w:p>
      <w:pPr>
        <w:pStyle w:val="Heading2"/>
      </w:pPr>
      <w:r>
        <w:t>1.1 研究背景与问题</w:t>
      </w:r>
    </w:p>
    <w:p>
      <w:pPr>
        <w:pStyle w:val="FirstParagraph"/>
      </w:pPr>
      <w:r>
        <w:t>近年来，随着开源协作与科研工程化理念的普及，基于纯文本轻量标记语言（如 Markdown）配合 Git 进行版本追踪的写作方式正受到广大技术与科研工作者的青睐。与传统封闭的二进制 Word（</w:t>
      </w:r>
      <w:r>
        <w:rPr>
          <w:rStyle w:val="VerbatimChar"/>
        </w:rPr>
        <w:t>.docx</w:t>
      </w:r>
      <w:r>
        <w:t>）文档相比，Markdown 具有内容与表现形式彻底解耦、支持逐行差异对比（Git diff）、天然契合多人分支合并以及对大语言模型极其友好的显著优势。</w:t>
      </w:r>
    </w:p>
    <w:p>
      <w:pPr>
        <w:pStyle w:val="BodyText"/>
      </w:pPr>
      <w:r>
        <w:t>然而，在学术成果向高校研究生院、科研院所与学术期刊提交的最终交付阶段，作者仍被要求提供格式近乎苛刻的 Word 文档。在经典文档转换领域，以 Pandoc 为代表的通用格式转换器奠定了多文档互转的基石</w:t>
      </w:r>
      <w:hyperlink w:anchor="_Ref_macfarlane2020">
        <w:r>
          <w:rPr>
            <w:vertAlign w:val="superscript"/>
          </w:rPr>
          <w:t xml:space="preserve">[1]</w:t>
        </w:r>
      </w:hyperlink>
      <w:r>
        <w:t>，但其在面向中文学术规范时存在严重的排版断层</w:t>
      </w:r>
      <w:r>
        <w:rPr>
          <w:rStyle w:val="FootnoteReference"/>
        </w:rPr>
        <w:footnoteReference w:id="1"/>
      </w:r>
      <w:r>
        <w:t>；现代科研排版系统 Quarto 虽然提升了交叉引用体验，但其 Word 输出依然受制于底层样式映射，无法开箱即用支持双线章名页眉与复杂分节；而在 Word 中通过人工反复调整格式，不仅耗费巨大学术精力，且一旦源文本修改即导致排版完全推倒重来。系统总体技术架构流程如图 1 所示。</w:t>
      </w:r>
    </w:p>
    <w:p>
      <w:pPr>
        <w:pStyle w:val="CaptionedFigure"/>
        <w:keepNext/>
      </w:pPr>
      <w:r>
        <w:drawing>
          <wp:inline xmlns:wp="http://schemas.openxmlformats.org/drawingml/2006/wordprocessingDrawing" xmlns:a="http://schemas.openxmlformats.org/drawingml/2006/main" xmlns:pic="http://schemas.openxmlformats.org/drawingml/2006/picture">
            <wp:extent cx="4680000" cy="19440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680000" cy="1944000"/>
                    </a:xfrm>
                    <a:prstGeom prst="rect"/>
                  </pic:spPr>
                </pic:pic>
              </a:graphicData>
            </a:graphic>
          </wp:inline>
        </w:drawing>
      </w:r>
    </w:p>
    <w:p>
      <w:pPr>
        <w:pStyle w:val="ImageCaption"/>
      </w:pPr>
      <w:r>
        <w:t>图 1 md-to-word 自动化学术排版系统总体架构流程</w:t>
      </w:r>
    </w:p>
    <w:p>
      <w:pPr>
        <w:pStyle w:val="BodyText"/>
      </w:pPr>
      <w:r>
        <w:t>正文排版严格遵循中文学术论文排版契约，支持包括</w:t>
      </w:r>
      <w:r>
        <w:rPr>
          <w:b/>
        </w:rPr>
        <w:t>加粗文本强调</w:t>
      </w:r>
      <w:r>
        <w:t>、</w:t>
      </w:r>
      <w:r>
        <w:rPr>
          <w:i/>
        </w:rPr>
        <w:t>斜体变量标注</w:t>
      </w:r>
      <w:r>
        <w:t>、化学分子式 H</w:t>
      </w:r>
      <w:r>
        <w:rPr>
          <w:vertAlign w:val="subscript"/>
        </w:rPr>
        <w:t>2</w:t>
      </w:r>
      <w:r>
        <w:t xml:space="preserve">O 表达、数学高维矩阵 </w:t>
      </w:r>
      <m:oMath>
        <m:r>
          <m:t xml:space="preserve">𝐖</m:t>
        </m:r>
        <m:r>
          <m:rPr>
            <m:sty m:val="p"/>
          </m:rPr>
          <m:t xml:space="preserve">∈</m:t>
        </m:r>
        <m:sSup>
          <m:e>
            <m:r>
              <m:t xml:space="preserve">ℝ</m:t>
            </m:r>
          </m:e>
          <m:sup>
            <m:r>
              <m:t xml:space="preserve">d</m:t>
            </m:r>
            <m:r>
              <m:rPr>
                <m:sty m:val="p"/>
              </m:rPr>
              <m:t xml:space="preserve">×</m:t>
            </m:r>
            <m:r>
              <m:t xml:space="preserve">k</m:t>
            </m:r>
          </m:sup>
        </m:sSup>
      </m:oMath>
      <w:r>
        <w:t>，以及</w:t>
      </w:r>
      <w:r>
        <w:rPr>
          <w:u w:val="single"/>
        </w:rPr>
        <w:t>关键技术特征标识</w:t>
      </w:r>
      <w:r>
        <w:t>等在内的丰富行内格式。</w:t>
      </w:r>
    </w:p>
    <w:p>
      <w:pPr>
        <w:pStyle w:val="Heading1"/>
      </w:pPr>
      <w:r>
        <w:t>第二章 核心排版引擎数学建模与机制</w:t>
      </w:r>
    </w:p>
    <w:p>
      <w:pPr>
        <w:pStyle w:val="Heading2"/>
      </w:pPr>
      <w:r>
        <w:t>2.1 版心几何与行高约束</w:t>
      </w:r>
    </w:p>
    <w:p>
      <w:pPr>
        <w:pStyle w:val="FirstParagraph"/>
      </w:pPr>
      <w:r>
        <w:t xml:space="preserve">本节建立学术版面几何网格与行高约束的数学模型。设 A4 纸张物理宽度为 </w:t>
      </w:r>
      <m:oMath>
        <m:sSub>
          <m:e>
            <m:r>
              <m:t xml:space="preserve">W</m:t>
            </m:r>
          </m:e>
          <m:sub>
            <m:r>
              <m:rPr>
                <m:sty m:val="p"/>
              </m:rPr>
              <m:t xml:space="preserve">page</m:t>
            </m:r>
          </m:sub>
        </m:sSub>
      </m:oMath>
      <w:r>
        <w:t xml:space="preserve">，左右页边距分别为 </w:t>
      </w:r>
      <m:oMath>
        <m:sSub>
          <m:e>
            <m:r>
              <m:t xml:space="preserve">M</m:t>
            </m:r>
          </m:e>
          <m:sub>
            <m:r>
              <m:rPr>
                <m:sty m:val="p"/>
              </m:rPr>
              <m:t xml:space="preserve">left</m:t>
            </m:r>
          </m:sub>
        </m:sSub>
      </m:oMath>
      <w:r>
        <w:t xml:space="preserve"> 与 </w:t>
      </w:r>
      <m:oMath>
        <m:sSub>
          <m:e>
            <m:r>
              <m:t xml:space="preserve">M</m:t>
            </m:r>
          </m:e>
          <m:sub>
            <m:r>
              <m:rPr>
                <m:sty m:val="p"/>
              </m:rPr>
              <m:t xml:space="preserve">right</m:t>
            </m:r>
          </m:sub>
        </m:sSub>
      </m:oMath>
      <w:r>
        <w:t xml:space="preserve">，版心有效排版宽度定义为 </w:t>
      </w:r>
      <m:oMath>
        <m:sSub>
          <m:e>
            <m:r>
              <m:t xml:space="preserve">W</m:t>
            </m:r>
          </m:e>
          <m:sub>
            <m:r>
              <m:rPr>
                <m:sty m:val="p"/>
              </m:rPr>
              <m:t xml:space="preserve">body</m:t>
            </m:r>
          </m:sub>
        </m:sSub>
        <m:r>
          <m:rPr>
            <m:sty m:val="p"/>
          </m:rPr>
          <m:t xml:space="preserve">=</m:t>
        </m:r>
        <m:sSub>
          <m:e>
            <m:r>
              <m:t xml:space="preserve">W</m:t>
            </m:r>
          </m:e>
          <m:sub>
            <m:r>
              <m:rPr>
                <m:sty m:val="p"/>
              </m:rPr>
              <m:t xml:space="preserve">page</m:t>
            </m:r>
          </m:sub>
        </m:sSub>
        <m:r>
          <m:rPr>
            <m:sty m:val="p"/>
          </m:rPr>
          <m:t xml:space="preserve">−</m:t>
        </m:r>
        <m:r>
          <m:rPr>
            <m:sty m:val="p"/>
          </m:rPr>
          <m:t xml:space="preserve">(</m:t>
        </m:r>
        <m:sSub>
          <m:e>
            <m:r>
              <m:t xml:space="preserve">M</m:t>
            </m:r>
          </m:e>
          <m:sub>
            <m:r>
              <m:rPr>
                <m:sty m:val="p"/>
              </m:rPr>
              <m:t xml:space="preserve">left</m:t>
            </m:r>
          </m:sub>
        </m:sSub>
        <m:r>
          <m:rPr>
            <m:sty m:val="p"/>
          </m:rPr>
          <m:t xml:space="preserve">+</m:t>
        </m:r>
        <m:sSub>
          <m:e>
            <m:r>
              <m:t xml:space="preserve">M</m:t>
            </m:r>
          </m:e>
          <m:sub>
            <m:r>
              <m:rPr>
                <m:sty m:val="p"/>
              </m:rPr>
              <m:t xml:space="preserve">right</m:t>
            </m:r>
          </m:sub>
        </m:sSub>
        <m:r>
          <m:rPr>
            <m:sty m:val="p"/>
          </m:rPr>
          <m:t xml:space="preserve">)</m:t>
        </m:r>
      </m:oMath>
      <w:r>
        <w:t xml:space="preserve">。在标准 20 磅行距网格约束下，文本行垂直离散化坐标演化方程如 </w:t>
      </w:r>
      <w:r>
        <w:t>式（2-1）</w:t>
      </w:r>
      <w:r>
        <w:t xml:space="preserve"> 所示：</w:t>
      </w:r>
    </w:p>
    <w:p>
      <w:pPr>
        <w:pStyle w:val="BodyText"/>
        <w:tabs>
          <w:tab w:val="center" w:pos="4229"/>
          <w:tab w:val="right" w:pos="8459"/>
        </w:tabs>
      </w:pPr>
      <w:r>
        <w:tab/>
      </w:r>
      <m:oMath>
        <m:sSub>
          <m:e>
            <m:r>
              <m:t xml:space="preserve">H</m:t>
            </m:r>
          </m:e>
          <m:sub>
            <m:r>
              <m:t xml:space="preserve">n</m:t>
            </m:r>
            <m:r>
              <m:rPr>
                <m:sty m:val="p"/>
              </m:rPr>
              <m:t xml:space="preserve">+</m:t>
            </m:r>
            <m:r>
              <m:rPr>
                <m:sty m:val="p"/>
              </m:rPr>
              <m:t xml:space="preserve">1</m:t>
            </m:r>
          </m:sub>
        </m:sSub>
        <m:r>
          <m:rPr>
            <m:sty m:val="p"/>
          </m:rPr>
          <m:t xml:space="preserve">=</m:t>
        </m:r>
        <m:r>
          <m:t xml:space="preserve">𝒢</m:t>
        </m:r>
        <m:r>
          <m:rPr>
            <m:sty m:val="p"/>
          </m:rPr>
          <m:t xml:space="preserve">(</m:t>
        </m:r>
        <m:sSub>
          <m:e>
            <m:r>
              <m:t xml:space="preserve">H</m:t>
            </m:r>
          </m:e>
          <m:sub>
            <m:r>
              <m:t xml:space="preserve">n</m:t>
            </m:r>
          </m:sub>
        </m:sSub>
        <m:r>
          <m:rPr>
            <m:sty m:val="p"/>
          </m:rPr>
          <m:t xml:space="preserve">,</m:t>
        </m:r>
        <m:r>
          <m:t xml:space="preserve">Δ</m:t>
        </m:r>
        <m:sSub>
          <m:e>
            <m:r>
              <m:t xml:space="preserve">L</m:t>
            </m:r>
          </m:e>
          <m:sub>
            <m:r>
              <m:t xml:space="preserve">n</m:t>
            </m:r>
          </m:sub>
        </m:sSub>
        <m:r>
          <m:t xml:space="preserve">;</m:t>
        </m:r>
        <m:r>
          <m:t xml:space="preserve">ψ</m:t>
        </m:r>
        <m:r>
          <m:rPr>
            <m:sty m:val="p"/>
          </m:rPr>
          <m:t xml:space="preserve">)</m:t>
        </m:r>
        <m:r>
          <m:rPr>
            <m:sty m:val="p"/>
          </m:rPr>
          <m:t xml:space="preserve">+</m:t>
        </m:r>
        <m:sSub>
          <m:e>
            <m:r>
              <m:t xml:space="preserve">δ</m:t>
            </m:r>
          </m:e>
          <m:sub>
            <m:r>
              <m:t xml:space="preserve">n</m:t>
            </m:r>
          </m:sub>
        </m:sSub>
      </m:oMath>
      <w:r>
        <w:tab/>
      </w:r>
      <w:r>
        <w:t>（2-1）</w:t>
      </w:r>
    </w:p>
    <w:p>
      <w:pPr>
        <w:pStyle w:val="FirstParagraph"/>
      </w:pPr>
      <w:r>
        <w:t xml:space="preserve">其中 </w:t>
      </w:r>
      <m:oMath>
        <m:r>
          <m:t xml:space="preserve">ψ</m:t>
        </m:r>
      </m:oMath>
      <w:r>
        <w:t xml:space="preserve"> 为字号与行距复合度量参数张量，</w:t>
      </w:r>
      <m:oMath>
        <m:sSub>
          <m:e>
            <m:r>
              <m:t xml:space="preserve">δ</m:t>
            </m:r>
          </m:e>
          <m:sub>
            <m:r>
              <m:t xml:space="preserve">n</m:t>
            </m:r>
          </m:sub>
        </m:sSub>
      </m:oMath>
      <w:r>
        <w:t xml:space="preserve"> 表示版面网格规整扰动因子。为实现公式居中且编号靠右的出版级效果，写出器在公式段落上定义两个制表位：中心制表位落在版心中线，右制表位落在版心右缘；公式停在中心位，编号停在右位。</w:t>
      </w:r>
    </w:p>
    <w:p>
      <w:pPr>
        <w:pStyle w:val="BodyText"/>
      </w:pPr>
      <w:r>
        <w:t>行高约束同理由一条公式给定：版心高度除以「每页行数 × 行距倍数」即得网格行距，声明「每页 22 行」时按此反算，使最终排版恰好落下 22 行：</w:t>
      </w:r>
    </w:p>
    <w:p>
      <w:pPr>
        <w:pStyle w:val="BodyText"/>
        <w:tabs>
          <w:tab w:val="center" w:pos="4229"/>
          <w:tab w:val="right" w:pos="8459"/>
        </w:tabs>
      </w:pPr>
      <w:r>
        <w:tab/>
      </w:r>
      <m:oMath>
        <m:r>
          <m:t xml:space="preserve">p</m:t>
        </m:r>
        <m:r>
          <m:rPr>
            <m:sty m:val="p"/>
          </m:rPr>
          <m:t xml:space="preserve">=</m:t>
        </m:r>
        <m:f>
          <m:num>
            <m:sSub>
              <m:e>
                <m:r>
                  <m:t xml:space="preserve">H</m:t>
                </m:r>
              </m:e>
              <m:sub>
                <m:r>
                  <m:rPr>
                    <m:sty m:val="p"/>
                  </m:rPr>
                  <m:t xml:space="preserve">body</m:t>
                </m:r>
              </m:sub>
            </m:sSub>
          </m:num>
          <m:den>
            <m:r>
              <m:t xml:space="preserve">N</m:t>
            </m:r>
            <m:r>
              <m:rPr>
                <m:sty m:val="p"/>
              </m:rPr>
              <m:t xml:space="preserve">·</m:t>
            </m:r>
            <m:r>
              <m:t xml:space="preserve">s</m:t>
            </m:r>
          </m:den>
        </m:f>
      </m:oMath>
      <w:r>
        <w:tab/>
      </w:r>
      <w:r>
        <w:t>（2-2）</w:t>
      </w:r>
    </w:p>
    <w:p>
      <w:pPr>
        <w:pStyle w:val="FirstParagraph"/>
      </w:pPr>
      <w:r>
        <w:t xml:space="preserve">其中 </w:t>
      </w:r>
      <m:oMath>
        <m:r>
          <m:t xml:space="preserve">N</m:t>
        </m:r>
      </m:oMath>
      <w:r>
        <w:t xml:space="preserve"> 为要求的每页行数，</w:t>
      </w:r>
      <m:oMath>
        <m:r>
          <m:t xml:space="preserve">s</m:t>
        </m:r>
      </m:oMath>
      <w:r>
        <w:t xml:space="preserve"> 为行距倍数。制表位、网格行距与段落属性写在同一次落盘里，不依赖任何后处理；公式旁的编号与正文引用由同一份格式渲染，两边永远一致</w:t>
      </w:r>
      <w:hyperlink w:anchor="_Ref_ecma376">
        <w:r>
          <w:rPr>
            <w:vertAlign w:val="superscript"/>
          </w:rPr>
          <w:t xml:space="preserve">[2]</w:t>
        </w:r>
      </w:hyperlink>
      <w:r>
        <w:t>。</w:t>
      </w:r>
    </w:p>
    <w:p>
      <w:pPr>
        <w:pStyle w:val="Heading1"/>
      </w:pPr>
      <w:r>
        <w:t>第三章 规范实现与对比验证</w:t>
      </w:r>
    </w:p>
    <w:p>
      <w:pPr>
        <w:pStyle w:val="Heading2"/>
      </w:pPr>
      <w:r>
        <w:t>3.1 质量门禁的执行流程</w:t>
      </w:r>
    </w:p>
    <w:p>
      <w:pPr>
        <w:pStyle w:val="FirstParagraph"/>
      </w:pPr>
      <w:r>
        <w:t>自动化编译与质量门禁的执行流程如图 2 所示：三道门禁分别落在编译前、产物生成后与最终对账三个位置，任一道不通过即中止导出并指出行号。</w:t>
      </w:r>
    </w:p>
    <w:p>
      <w:pPr>
        <w:pStyle w:val="CaptionedFigure"/>
        <w:keepNext/>
      </w:pPr>
      <w:r>
        <w:drawing>
          <wp:inline xmlns:wp="http://schemas.openxmlformats.org/drawingml/2006/wordprocessingDrawing" xmlns:a="http://schemas.openxmlformats.org/drawingml/2006/main" xmlns:pic="http://schemas.openxmlformats.org/drawingml/2006/picture">
            <wp:extent cx="4680000" cy="2239478"/>
            <wp:docPr id="2" name="Picture 2"/>
            <wp:cNvGraphicFramePr>
              <a:graphicFrameLocks noChangeAspect="1"/>
            </wp:cNvGraphicFramePr>
            <a:graphic>
              <a:graphicData uri="http://schemas.openxmlformats.org/drawingml/2006/picture">
                <pic:pic>
                  <pic:nvPicPr>
                    <pic:cNvPr id="0" name="qa_pipeline.png"/>
                    <pic:cNvPicPr/>
                  </pic:nvPicPr>
                  <pic:blipFill>
                    <a:blip r:embed="rId10"/>
                    <a:stretch>
                      <a:fillRect/>
                    </a:stretch>
                  </pic:blipFill>
                  <pic:spPr>
                    <a:xfrm>
                      <a:off x="0" y="0"/>
                      <a:ext cx="4680000" cy="2239478"/>
                    </a:xfrm>
                    <a:prstGeom prst="rect"/>
                  </pic:spPr>
                </pic:pic>
              </a:graphicData>
            </a:graphic>
          </wp:inline>
        </w:drawing>
      </w:r>
    </w:p>
    <w:p>
      <w:pPr>
        <w:pStyle w:val="ImageCaption"/>
      </w:pPr>
      <w:r>
        <w:t>图 2 排版自动化流水线质量门禁与逐条对账流程</w:t>
      </w:r>
    </w:p>
    <w:p>
      <w:pPr>
        <w:pStyle w:val="Heading2"/>
      </w:pPr>
      <w:r>
        <w:t>3.2 与主流方案的特性对照</w:t>
      </w:r>
    </w:p>
    <w:p>
      <w:pPr>
        <w:pStyle w:val="FirstParagraph"/>
      </w:pPr>
      <w:r>
        <w:t>在涵盖高校学位论文核心要素（双线页眉、跨节页码、三线表、带编号公式、GB/T 7714 文献）的场景下，各方案在</w:t>
      </w:r>
      <w:r>
        <w:rPr>
          <w:b/>
        </w:rPr>
        <w:t>默认导出路径</w:t>
      </w:r>
      <w:r>
        <w:t>下的特性对照如表 1 所示。</w:t>
      </w:r>
    </w:p>
    <w:p>
      <w:pPr>
        <w:pStyle w:val="TableCaption"/>
      </w:pPr>
      <w:r>
        <w:rPr>
          <w:b/>
        </w:rPr>
        <w:t>表 1</w:t>
      </w:r>
      <w:r>
        <w:t xml:space="preserve"> 主流方案在中文学术规范场景下的特性对照</w:t>
      </w:r>
    </w:p>
    <w:tbl>
      <w:tblPr>
        <w:tblStyle w:val="Table"/>
        <w:tblW w:type="auto" w:w="0"/>
        <w:tblLayout w:type="autofit"/>
        <w:tblLook w:firstColumn="1" w:firstRow="1" w:lastColumn="0" w:lastRow="0" w:noHBand="0" w:noVBand="1" w:val="04A0"/>
      </w:tblPr>
      <w:tblGrid>
        <w:gridCol w:w="1692"/>
        <w:gridCol w:w="1692"/>
        <w:gridCol w:w="1692"/>
        <w:gridCol w:w="1692"/>
        <w:gridCol w:w="1692"/>
      </w:tblGrid>
      <w:tr>
        <w:trPr>
          <w:tblHeader/>
        </w:trPr>
        <w:tc>
          <w:tcPr>
            <w:tcW w:type="dxa" w:w="1692"/>
          </w:tcPr>
          <w:p>
            <w:pPr>
              <w:pStyle w:val="Compact"/>
              <w:jc w:val="left"/>
            </w:pPr>
            <w:r>
              <w:t>排版要素</w:t>
            </w:r>
          </w:p>
        </w:tc>
        <w:tc>
          <w:tcPr>
            <w:tcW w:type="dxa" w:w="1692"/>
          </w:tcPr>
          <w:p>
            <w:pPr>
              <w:pStyle w:val="Compact"/>
              <w:jc w:val="center"/>
            </w:pPr>
            <w:r>
              <w:t>Pandoc 默认</w:t>
            </w:r>
          </w:p>
        </w:tc>
        <w:tc>
          <w:tcPr>
            <w:tcW w:type="dxa" w:w="1692"/>
          </w:tcPr>
          <w:p>
            <w:pPr>
              <w:pStyle w:val="Compact"/>
              <w:jc w:val="center"/>
            </w:pPr>
            <w:r>
              <w:t>Quarto 默认</w:t>
            </w:r>
          </w:p>
        </w:tc>
        <w:tc>
          <w:tcPr>
            <w:tcW w:type="dxa" w:w="1692"/>
          </w:tcPr>
          <w:p>
            <w:pPr>
              <w:pStyle w:val="Compact"/>
              <w:jc w:val="center"/>
            </w:pPr>
            <w:r>
              <w:t>Word 手工</w:t>
            </w:r>
          </w:p>
        </w:tc>
        <w:tc>
          <w:tcPr>
            <w:tcW w:type="dxa" w:w="1692"/>
          </w:tcPr>
          <w:p>
            <w:pPr>
              <w:pStyle w:val="Compact"/>
              <w:jc w:val="center"/>
            </w:pPr>
            <w:r>
              <w:t>本文方案</w:t>
            </w:r>
          </w:p>
        </w:tc>
      </w:tr>
      <w:tr>
        <w:tc>
          <w:tcPr>
            <w:tcW w:type="dxa" w:w="1692"/>
          </w:tcPr>
          <w:p>
            <w:pPr>
              <w:pStyle w:val="Compact"/>
              <w:jc w:val="left"/>
            </w:pPr>
            <w:r>
              <w:t>中西文字体分离</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逐段设</w:t>
            </w:r>
          </w:p>
        </w:tc>
        <w:tc>
          <w:tcPr>
            <w:tcW w:type="dxa" w:w="1692"/>
          </w:tcPr>
          <w:p>
            <w:pPr>
              <w:pStyle w:val="Compact"/>
              <w:jc w:val="center"/>
            </w:pPr>
            <w:r>
              <w:t>声明一行</w:t>
            </w:r>
          </w:p>
        </w:tc>
      </w:tr>
      <w:tr>
        <w:tc>
          <w:tcPr>
            <w:tcW w:type="dxa" w:w="1692"/>
          </w:tcPr>
          <w:p>
            <w:pPr>
              <w:pStyle w:val="Compact"/>
              <w:jc w:val="left"/>
            </w:pPr>
            <w:r>
              <w:t>中文号数与首行缩进</w:t>
            </w:r>
          </w:p>
        </w:tc>
        <w:tc>
          <w:tcPr>
            <w:tcW w:type="dxa" w:w="1692"/>
          </w:tcPr>
          <w:p>
            <w:pPr>
              <w:pStyle w:val="Compact"/>
              <w:jc w:val="center"/>
            </w:pPr>
            <w:r>
              <w:t>不支持</w:t>
            </w:r>
          </w:p>
        </w:tc>
        <w:tc>
          <w:tcPr>
            <w:tcW w:type="dxa" w:w="1692"/>
          </w:tcPr>
          <w:p>
            <w:pPr>
              <w:pStyle w:val="Compact"/>
              <w:jc w:val="center"/>
            </w:pPr>
            <w:r>
              <w:t>不支持</w:t>
            </w:r>
          </w:p>
        </w:tc>
        <w:tc>
          <w:tcPr>
            <w:tcW w:type="dxa" w:w="1692"/>
          </w:tcPr>
          <w:p>
            <w:pPr>
              <w:pStyle w:val="Compact"/>
              <w:jc w:val="center"/>
            </w:pPr>
            <w:r>
              <w:t>逐段设</w:t>
            </w:r>
          </w:p>
        </w:tc>
        <w:tc>
          <w:tcPr>
            <w:tcW w:type="dxa" w:w="1692"/>
          </w:tcPr>
          <w:p>
            <w:pPr>
              <w:pStyle w:val="Compact"/>
              <w:jc w:val="center"/>
            </w:pPr>
            <w:r>
              <w:t>声明一行</w:t>
            </w:r>
          </w:p>
        </w:tc>
      </w:tr>
      <w:tr>
        <w:tc>
          <w:tcPr>
            <w:tcW w:type="dxa" w:w="1692"/>
          </w:tcPr>
          <w:p>
            <w:pPr>
              <w:pStyle w:val="Compact"/>
              <w:jc w:val="left"/>
            </w:pPr>
            <w:r>
              <w:t>全文校对语言</w:t>
            </w:r>
          </w:p>
        </w:tc>
        <w:tc>
          <w:tcPr>
            <w:tcW w:type="dxa" w:w="1692"/>
          </w:tcPr>
          <w:p>
            <w:pPr>
              <w:pStyle w:val="Compact"/>
              <w:jc w:val="center"/>
            </w:pPr>
            <w:r>
              <w:t>不支持</w:t>
            </w:r>
          </w:p>
        </w:tc>
        <w:tc>
          <w:tcPr>
            <w:tcW w:type="dxa" w:w="1692"/>
          </w:tcPr>
          <w:p>
            <w:pPr>
              <w:pStyle w:val="Compact"/>
              <w:jc w:val="center"/>
            </w:pPr>
            <w:r>
              <w:t>不支持</w:t>
            </w:r>
          </w:p>
        </w:tc>
        <w:tc>
          <w:tcPr>
            <w:tcW w:type="dxa" w:w="1692"/>
          </w:tcPr>
          <w:p>
            <w:pPr>
              <w:pStyle w:val="Compact"/>
              <w:jc w:val="center"/>
            </w:pPr>
            <w:r>
              <w:t>手动设</w:t>
            </w:r>
          </w:p>
        </w:tc>
        <w:tc>
          <w:tcPr>
            <w:tcW w:type="dxa" w:w="1692"/>
          </w:tcPr>
          <w:p>
            <w:pPr>
              <w:pStyle w:val="Compact"/>
              <w:jc w:val="center"/>
            </w:pPr>
            <w:r>
              <w:t>声明一行</w:t>
            </w:r>
          </w:p>
        </w:tc>
      </w:tr>
      <w:tr>
        <w:tc>
          <w:tcPr>
            <w:tcW w:type="dxa" w:w="1692"/>
          </w:tcPr>
          <w:p>
            <w:pPr>
              <w:pStyle w:val="Compact"/>
              <w:jc w:val="left"/>
            </w:pPr>
            <w:r>
              <w:t>学术三线表</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逐表设</w:t>
            </w:r>
          </w:p>
        </w:tc>
        <w:tc>
          <w:tcPr>
            <w:tcW w:type="dxa" w:w="1692"/>
          </w:tcPr>
          <w:p>
            <w:pPr>
              <w:pStyle w:val="Compact"/>
              <w:jc w:val="center"/>
            </w:pPr>
            <w:r>
              <w:t>声明一行</w:t>
            </w:r>
          </w:p>
        </w:tc>
      </w:tr>
      <w:tr>
        <w:tc>
          <w:tcPr>
            <w:tcW w:type="dxa" w:w="1692"/>
          </w:tcPr>
          <w:p>
            <w:pPr>
              <w:pStyle w:val="Compact"/>
              <w:jc w:val="left"/>
            </w:pPr>
            <w:r>
              <w:t>全网格数据表</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逐表调</w:t>
            </w:r>
          </w:p>
        </w:tc>
        <w:tc>
          <w:tcPr>
            <w:tcW w:type="dxa" w:w="1692"/>
          </w:tcPr>
          <w:p>
            <w:pPr>
              <w:pStyle w:val="Compact"/>
              <w:jc w:val="center"/>
            </w:pPr>
            <w:r>
              <w:t>声明一行</w:t>
            </w:r>
          </w:p>
        </w:tc>
      </w:tr>
      <w:tr>
        <w:tc>
          <w:tcPr>
            <w:tcW w:type="dxa" w:w="1692"/>
          </w:tcPr>
          <w:p>
            <w:pPr>
              <w:pStyle w:val="Compact"/>
              <w:jc w:val="left"/>
            </w:pPr>
            <w:r>
              <w:t>跨页重复表头</w:t>
            </w:r>
          </w:p>
        </w:tc>
        <w:tc>
          <w:tcPr>
            <w:tcW w:type="dxa" w:w="1692"/>
          </w:tcPr>
          <w:p>
            <w:pPr>
              <w:pStyle w:val="Compact"/>
              <w:jc w:val="center"/>
            </w:pPr>
            <w:r>
              <w:t>默认即有</w:t>
            </w:r>
          </w:p>
        </w:tc>
        <w:tc>
          <w:tcPr>
            <w:tcW w:type="dxa" w:w="1692"/>
          </w:tcPr>
          <w:p>
            <w:pPr>
              <w:pStyle w:val="Compact"/>
              <w:jc w:val="center"/>
            </w:pPr>
            <w:r>
              <w:t>默认即有</w:t>
            </w:r>
          </w:p>
        </w:tc>
        <w:tc>
          <w:tcPr>
            <w:tcW w:type="dxa" w:w="1692"/>
          </w:tcPr>
          <w:p>
            <w:pPr>
              <w:pStyle w:val="Compact"/>
              <w:jc w:val="center"/>
            </w:pPr>
            <w:r>
              <w:t>逐表勾选</w:t>
            </w:r>
          </w:p>
        </w:tc>
        <w:tc>
          <w:tcPr>
            <w:tcW w:type="dxa" w:w="1692"/>
          </w:tcPr>
          <w:p>
            <w:pPr>
              <w:pStyle w:val="Compact"/>
              <w:jc w:val="center"/>
            </w:pPr>
            <w:r>
              <w:t>可显式声明</w:t>
            </w:r>
          </w:p>
        </w:tc>
      </w:tr>
      <w:tr>
        <w:tc>
          <w:tcPr>
            <w:tcW w:type="dxa" w:w="1692"/>
          </w:tcPr>
          <w:p>
            <w:pPr>
              <w:pStyle w:val="Compact"/>
              <w:jc w:val="left"/>
            </w:pPr>
            <w:r>
              <w:t>双线章名页眉</w:t>
            </w:r>
          </w:p>
        </w:tc>
        <w:tc>
          <w:tcPr>
            <w:tcW w:type="dxa" w:w="1692"/>
          </w:tcPr>
          <w:p>
            <w:pPr>
              <w:pStyle w:val="Compact"/>
              <w:jc w:val="center"/>
            </w:pPr>
            <w:r>
              <w:t>须改底模插域</w:t>
            </w:r>
          </w:p>
        </w:tc>
        <w:tc>
          <w:tcPr>
            <w:tcW w:type="dxa" w:w="1692"/>
          </w:tcPr>
          <w:p>
            <w:pPr>
              <w:pStyle w:val="Compact"/>
              <w:jc w:val="center"/>
            </w:pPr>
            <w:r>
              <w:t>须改底模插域</w:t>
            </w:r>
          </w:p>
        </w:tc>
        <w:tc>
          <w:tcPr>
            <w:tcW w:type="dxa" w:w="1692"/>
          </w:tcPr>
          <w:p>
            <w:pPr>
              <w:pStyle w:val="Compact"/>
              <w:jc w:val="center"/>
            </w:pPr>
            <w:r>
              <w:t>逐节断开</w:t>
            </w:r>
          </w:p>
        </w:tc>
        <w:tc>
          <w:tcPr>
            <w:tcW w:type="dxa" w:w="1692"/>
          </w:tcPr>
          <w:p>
            <w:pPr>
              <w:pStyle w:val="Compact"/>
              <w:jc w:val="center"/>
            </w:pPr>
            <w:r>
              <w:t>声明一行</w:t>
            </w:r>
          </w:p>
        </w:tc>
      </w:tr>
      <w:tr>
        <w:tc>
          <w:tcPr>
            <w:tcW w:type="dxa" w:w="1692"/>
          </w:tcPr>
          <w:p>
            <w:pPr>
              <w:pStyle w:val="Compact"/>
              <w:jc w:val="left"/>
            </w:pPr>
            <w:r>
              <w:t>罗马/阿拉伯分节</w:t>
            </w:r>
          </w:p>
        </w:tc>
        <w:tc>
          <w:tcPr>
            <w:tcW w:type="dxa" w:w="1692"/>
          </w:tcPr>
          <w:p>
            <w:pPr>
              <w:pStyle w:val="Compact"/>
              <w:jc w:val="center"/>
            </w:pPr>
            <w:r>
              <w:t>不支持</w:t>
            </w:r>
          </w:p>
        </w:tc>
        <w:tc>
          <w:tcPr>
            <w:tcW w:type="dxa" w:w="1692"/>
          </w:tcPr>
          <w:p>
            <w:pPr>
              <w:pStyle w:val="Compact"/>
              <w:jc w:val="center"/>
            </w:pPr>
            <w:r>
              <w:t>不支持</w:t>
            </w:r>
          </w:p>
        </w:tc>
        <w:tc>
          <w:tcPr>
            <w:tcW w:type="dxa" w:w="1692"/>
          </w:tcPr>
          <w:p>
            <w:pPr>
              <w:pStyle w:val="Compact"/>
              <w:jc w:val="center"/>
            </w:pPr>
            <w:r>
              <w:t>手工插</w:t>
            </w:r>
          </w:p>
        </w:tc>
        <w:tc>
          <w:tcPr>
            <w:tcW w:type="dxa" w:w="1692"/>
          </w:tcPr>
          <w:p>
            <w:pPr>
              <w:pStyle w:val="Compact"/>
              <w:jc w:val="center"/>
            </w:pPr>
            <w:r>
              <w:t>声明一行</w:t>
            </w:r>
          </w:p>
        </w:tc>
      </w:tr>
      <w:tr>
        <w:tc>
          <w:tcPr>
            <w:tcW w:type="dxa" w:w="1692"/>
          </w:tcPr>
          <w:p>
            <w:pPr>
              <w:pStyle w:val="Compact"/>
              <w:jc w:val="left"/>
            </w:pPr>
            <w:r>
              <w:t>Word 原生目录</w:t>
            </w:r>
          </w:p>
        </w:tc>
        <w:tc>
          <w:tcPr>
            <w:tcW w:type="dxa" w:w="1692"/>
          </w:tcPr>
          <w:p>
            <w:pPr>
              <w:pStyle w:val="Compact"/>
              <w:jc w:val="center"/>
            </w:pPr>
            <w:r>
              <w:t>有域，须改底模</w:t>
            </w:r>
          </w:p>
        </w:tc>
        <w:tc>
          <w:tcPr>
            <w:tcW w:type="dxa" w:w="1692"/>
          </w:tcPr>
          <w:p>
            <w:pPr>
              <w:pStyle w:val="Compact"/>
              <w:jc w:val="center"/>
            </w:pPr>
            <w:r>
              <w:t>有域，须改底模</w:t>
            </w:r>
          </w:p>
        </w:tc>
        <w:tc>
          <w:tcPr>
            <w:tcW w:type="dxa" w:w="1692"/>
          </w:tcPr>
          <w:p>
            <w:pPr>
              <w:pStyle w:val="Compact"/>
              <w:jc w:val="center"/>
            </w:pPr>
            <w:r>
              <w:t>手工插域</w:t>
            </w:r>
          </w:p>
        </w:tc>
        <w:tc>
          <w:tcPr>
            <w:tcW w:type="dxa" w:w="1692"/>
          </w:tcPr>
          <w:p>
            <w:pPr>
              <w:pStyle w:val="Compact"/>
              <w:jc w:val="center"/>
            </w:pPr>
            <w:r>
              <w:t>声明一行</w:t>
            </w:r>
          </w:p>
        </w:tc>
      </w:tr>
      <w:tr>
        <w:tc>
          <w:tcPr>
            <w:tcW w:type="dxa" w:w="1692"/>
          </w:tcPr>
          <w:p>
            <w:pPr>
              <w:pStyle w:val="Compact"/>
              <w:jc w:val="left"/>
            </w:pPr>
            <w:r>
              <w:t>目录点线与缩进</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逐条调</w:t>
            </w:r>
          </w:p>
        </w:tc>
        <w:tc>
          <w:tcPr>
            <w:tcW w:type="dxa" w:w="1692"/>
          </w:tcPr>
          <w:p>
            <w:pPr>
              <w:pStyle w:val="Compact"/>
              <w:jc w:val="center"/>
            </w:pPr>
            <w:r>
              <w:t>声明一行</w:t>
            </w:r>
          </w:p>
        </w:tc>
      </w:tr>
      <w:tr>
        <w:tc>
          <w:tcPr>
            <w:tcW w:type="dxa" w:w="1692"/>
          </w:tcPr>
          <w:p>
            <w:pPr>
              <w:pStyle w:val="Compact"/>
              <w:jc w:val="left"/>
            </w:pPr>
            <w:r>
              <w:t>公式居中＋编号靠右</w:t>
            </w:r>
          </w:p>
        </w:tc>
        <w:tc>
          <w:tcPr>
            <w:tcW w:type="dxa" w:w="1692"/>
          </w:tcPr>
          <w:p>
            <w:pPr>
              <w:pStyle w:val="Compact"/>
              <w:jc w:val="center"/>
            </w:pPr>
            <w:r>
              <w:t>无编号</w:t>
            </w:r>
          </w:p>
        </w:tc>
        <w:tc>
          <w:tcPr>
            <w:tcW w:type="dxa" w:w="1692"/>
          </w:tcPr>
          <w:p>
            <w:pPr>
              <w:pStyle w:val="Compact"/>
              <w:jc w:val="center"/>
            </w:pPr>
            <w:r>
              <w:t>编号跟随尾部</w:t>
            </w:r>
          </w:p>
        </w:tc>
        <w:tc>
          <w:tcPr>
            <w:tcW w:type="dxa" w:w="1692"/>
          </w:tcPr>
          <w:p>
            <w:pPr>
              <w:pStyle w:val="Compact"/>
              <w:jc w:val="center"/>
            </w:pPr>
            <w:r>
              <w:t>手设制表位</w:t>
            </w:r>
          </w:p>
        </w:tc>
        <w:tc>
          <w:tcPr>
            <w:tcW w:type="dxa" w:w="1692"/>
          </w:tcPr>
          <w:p>
            <w:pPr>
              <w:pStyle w:val="Compact"/>
              <w:jc w:val="center"/>
            </w:pPr>
            <w:r>
              <w:t>自动对齐</w:t>
            </w:r>
          </w:p>
        </w:tc>
      </w:tr>
      <w:tr>
        <w:tc>
          <w:tcPr>
            <w:tcW w:type="dxa" w:w="1692"/>
          </w:tcPr>
          <w:p>
            <w:pPr>
              <w:pStyle w:val="Compact"/>
              <w:jc w:val="left"/>
            </w:pPr>
            <w:r>
              <w:t>公式按章编号</w:t>
            </w:r>
          </w:p>
        </w:tc>
        <w:tc>
          <w:tcPr>
            <w:tcW w:type="dxa" w:w="1692"/>
          </w:tcPr>
          <w:p>
            <w:pPr>
              <w:pStyle w:val="Compact"/>
              <w:jc w:val="center"/>
            </w:pPr>
            <w:r>
              <w:t>不支持</w:t>
            </w:r>
          </w:p>
        </w:tc>
        <w:tc>
          <w:tcPr>
            <w:tcW w:type="dxa" w:w="1692"/>
          </w:tcPr>
          <w:p>
            <w:pPr>
              <w:pStyle w:val="Compact"/>
              <w:jc w:val="center"/>
            </w:pPr>
            <w:r>
              <w:t>支持</w:t>
            </w:r>
          </w:p>
        </w:tc>
        <w:tc>
          <w:tcPr>
            <w:tcW w:type="dxa" w:w="1692"/>
          </w:tcPr>
          <w:p>
            <w:pPr>
              <w:pStyle w:val="Compact"/>
              <w:jc w:val="center"/>
            </w:pPr>
            <w:r>
              <w:t>手打</w:t>
            </w:r>
          </w:p>
        </w:tc>
        <w:tc>
          <w:tcPr>
            <w:tcW w:type="dxa" w:w="1692"/>
          </w:tcPr>
          <w:p>
            <w:pPr>
              <w:pStyle w:val="Compact"/>
              <w:jc w:val="center"/>
            </w:pPr>
            <w:r>
              <w:t>开个开关</w:t>
            </w:r>
          </w:p>
        </w:tc>
      </w:tr>
      <w:tr>
        <w:tc>
          <w:tcPr>
            <w:tcW w:type="dxa" w:w="1692"/>
          </w:tcPr>
          <w:p>
            <w:pPr>
              <w:pStyle w:val="Compact"/>
              <w:jc w:val="left"/>
            </w:pPr>
            <w:r>
              <w:t>图表交叉引用</w:t>
            </w:r>
          </w:p>
        </w:tc>
        <w:tc>
          <w:tcPr>
            <w:tcW w:type="dxa" w:w="1692"/>
          </w:tcPr>
          <w:p>
            <w:pPr>
              <w:pStyle w:val="Compact"/>
              <w:jc w:val="center"/>
            </w:pPr>
            <w:r>
              <w:t>不支持</w:t>
            </w:r>
          </w:p>
        </w:tc>
        <w:tc>
          <w:tcPr>
            <w:tcW w:type="dxa" w:w="1692"/>
          </w:tcPr>
          <w:p>
            <w:pPr>
              <w:pStyle w:val="Compact"/>
              <w:jc w:val="center"/>
            </w:pPr>
            <w:r>
              <w:t>图片会掉样式</w:t>
            </w:r>
          </w:p>
        </w:tc>
        <w:tc>
          <w:tcPr>
            <w:tcW w:type="dxa" w:w="1692"/>
          </w:tcPr>
          <w:p>
            <w:pPr>
              <w:pStyle w:val="Compact"/>
              <w:jc w:val="center"/>
            </w:pPr>
            <w:r>
              <w:t>手工编号</w:t>
            </w:r>
          </w:p>
        </w:tc>
        <w:tc>
          <w:tcPr>
            <w:tcW w:type="dxa" w:w="1692"/>
          </w:tcPr>
          <w:p>
            <w:pPr>
              <w:pStyle w:val="Compact"/>
              <w:jc w:val="center"/>
            </w:pPr>
            <w:r>
              <w:t>手写图号</w:t>
            </w:r>
          </w:p>
        </w:tc>
      </w:tr>
      <w:tr>
        <w:tc>
          <w:tcPr>
            <w:tcW w:type="dxa" w:w="1692"/>
          </w:tcPr>
          <w:p>
            <w:pPr>
              <w:pStyle w:val="Compact"/>
              <w:jc w:val="left"/>
            </w:pPr>
            <w:r>
              <w:t>参考文献排版</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不支持</w:t>
            </w:r>
          </w:p>
        </w:tc>
        <w:tc>
          <w:tcPr>
            <w:tcW w:type="dxa" w:w="1692"/>
          </w:tcPr>
          <w:p>
            <w:pPr>
              <w:pStyle w:val="Compact"/>
              <w:jc w:val="center"/>
            </w:pPr>
            <w:r>
              <w:t>声明一行</w:t>
            </w:r>
          </w:p>
        </w:tc>
      </w:tr>
      <w:tr>
        <w:tc>
          <w:tcPr>
            <w:tcW w:type="dxa" w:w="1692"/>
          </w:tcPr>
          <w:p>
            <w:pPr>
              <w:pStyle w:val="Compact"/>
              <w:jc w:val="left"/>
            </w:pPr>
            <w:r>
              <w:t>引用可点击跳转</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手工插书签</w:t>
            </w:r>
          </w:p>
        </w:tc>
        <w:tc>
          <w:tcPr>
            <w:tcW w:type="dxa" w:w="1692"/>
          </w:tcPr>
          <w:p>
            <w:pPr>
              <w:pStyle w:val="Compact"/>
              <w:jc w:val="center"/>
            </w:pPr>
            <w:r>
              <w:t>默认开启</w:t>
            </w:r>
          </w:p>
        </w:tc>
      </w:tr>
      <w:tr>
        <w:tc>
          <w:tcPr>
            <w:tcW w:type="dxa" w:w="1692"/>
          </w:tcPr>
          <w:p>
            <w:pPr>
              <w:pStyle w:val="Compact"/>
              <w:jc w:val="left"/>
            </w:pPr>
            <w:r>
              <w:t>脚注</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声明一行</w:t>
            </w:r>
          </w:p>
        </w:tc>
      </w:tr>
      <w:tr>
        <w:tc>
          <w:tcPr>
            <w:tcW w:type="dxa" w:w="1692"/>
          </w:tcPr>
          <w:p>
            <w:pPr>
              <w:pStyle w:val="Compact"/>
              <w:jc w:val="left"/>
            </w:pPr>
            <w:r>
              <w:t>引用块样式</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逐段设</w:t>
            </w:r>
          </w:p>
        </w:tc>
        <w:tc>
          <w:tcPr>
            <w:tcW w:type="dxa" w:w="1692"/>
          </w:tcPr>
          <w:p>
            <w:pPr>
              <w:pStyle w:val="Compact"/>
              <w:jc w:val="center"/>
            </w:pPr>
            <w:r>
              <w:t>声明一行</w:t>
            </w:r>
          </w:p>
        </w:tc>
      </w:tr>
      <w:tr>
        <w:tc>
          <w:tcPr>
            <w:tcW w:type="dxa" w:w="1692"/>
          </w:tcPr>
          <w:p>
            <w:pPr>
              <w:pStyle w:val="Compact"/>
              <w:jc w:val="left"/>
            </w:pPr>
            <w:r>
              <w:t>图片题注</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手动编号</w:t>
            </w:r>
          </w:p>
        </w:tc>
        <w:tc>
          <w:tcPr>
            <w:tcW w:type="dxa" w:w="1692"/>
          </w:tcPr>
          <w:p>
            <w:pPr>
              <w:pStyle w:val="Compact"/>
              <w:jc w:val="center"/>
            </w:pPr>
            <w:r>
              <w:t>声明一行</w:t>
            </w:r>
          </w:p>
        </w:tc>
      </w:tr>
      <w:tr>
        <w:tc>
          <w:tcPr>
            <w:tcW w:type="dxa" w:w="1692"/>
          </w:tcPr>
          <w:p>
            <w:pPr>
              <w:pStyle w:val="Compact"/>
              <w:jc w:val="left"/>
            </w:pPr>
            <w:r>
              <w:t>页码格式与起始</w:t>
            </w:r>
          </w:p>
        </w:tc>
        <w:tc>
          <w:tcPr>
            <w:tcW w:type="dxa" w:w="1692"/>
          </w:tcPr>
          <w:p>
            <w:pPr>
              <w:pStyle w:val="Compact"/>
              <w:jc w:val="center"/>
            </w:pPr>
            <w:r>
              <w:t>不支持</w:t>
            </w:r>
          </w:p>
        </w:tc>
        <w:tc>
          <w:tcPr>
            <w:tcW w:type="dxa" w:w="1692"/>
          </w:tcPr>
          <w:p>
            <w:pPr>
              <w:pStyle w:val="Compact"/>
              <w:jc w:val="center"/>
            </w:pPr>
            <w:r>
              <w:t>不支持</w:t>
            </w:r>
          </w:p>
        </w:tc>
        <w:tc>
          <w:tcPr>
            <w:tcW w:type="dxa" w:w="1692"/>
          </w:tcPr>
          <w:p>
            <w:pPr>
              <w:pStyle w:val="Compact"/>
              <w:jc w:val="center"/>
            </w:pPr>
            <w:r>
              <w:t>手工设</w:t>
            </w:r>
          </w:p>
        </w:tc>
        <w:tc>
          <w:tcPr>
            <w:tcW w:type="dxa" w:w="1692"/>
          </w:tcPr>
          <w:p>
            <w:pPr>
              <w:pStyle w:val="Compact"/>
              <w:jc w:val="center"/>
            </w:pPr>
            <w:r>
              <w:t>声明一行</w:t>
            </w:r>
          </w:p>
        </w:tc>
      </w:tr>
      <w:tr>
        <w:tc>
          <w:tcPr>
            <w:tcW w:type="dxa" w:w="1692"/>
          </w:tcPr>
          <w:p>
            <w:pPr>
              <w:pStyle w:val="Compact"/>
              <w:jc w:val="left"/>
            </w:pPr>
            <w:r>
              <w:t>奇偶页不同页眉</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逐个设</w:t>
            </w:r>
          </w:p>
        </w:tc>
        <w:tc>
          <w:tcPr>
            <w:tcW w:type="dxa" w:w="1692"/>
          </w:tcPr>
          <w:p>
            <w:pPr>
              <w:pStyle w:val="Compact"/>
              <w:jc w:val="center"/>
            </w:pPr>
            <w:r>
              <w:t>声明一行</w:t>
            </w:r>
          </w:p>
        </w:tc>
      </w:tr>
      <w:tr>
        <w:tc>
          <w:tcPr>
            <w:tcW w:type="dxa" w:w="1692"/>
          </w:tcPr>
          <w:p>
            <w:pPr>
              <w:pStyle w:val="Compact"/>
              <w:jc w:val="left"/>
            </w:pPr>
            <w:r>
              <w:t>首页不同页脚</w:t>
            </w:r>
          </w:p>
        </w:tc>
        <w:tc>
          <w:tcPr>
            <w:tcW w:type="dxa" w:w="1692"/>
          </w:tcPr>
          <w:p>
            <w:pPr>
              <w:pStyle w:val="Compact"/>
              <w:jc w:val="center"/>
            </w:pPr>
            <w:r>
              <w:t>须改底模</w:t>
            </w:r>
          </w:p>
        </w:tc>
        <w:tc>
          <w:tcPr>
            <w:tcW w:type="dxa" w:w="1692"/>
          </w:tcPr>
          <w:p>
            <w:pPr>
              <w:pStyle w:val="Compact"/>
              <w:jc w:val="center"/>
            </w:pPr>
            <w:r>
              <w:t>须改底模</w:t>
            </w:r>
          </w:p>
        </w:tc>
        <w:tc>
          <w:tcPr>
            <w:tcW w:type="dxa" w:w="1692"/>
          </w:tcPr>
          <w:p>
            <w:pPr>
              <w:pStyle w:val="Compact"/>
              <w:jc w:val="center"/>
            </w:pPr>
            <w:r>
              <w:t>手动设</w:t>
            </w:r>
          </w:p>
        </w:tc>
        <w:tc>
          <w:tcPr>
            <w:tcW w:type="dxa" w:w="1692"/>
          </w:tcPr>
          <w:p>
            <w:pPr>
              <w:pStyle w:val="Compact"/>
              <w:jc w:val="center"/>
            </w:pPr>
            <w:r>
              <w:t>声明一行</w:t>
            </w:r>
          </w:p>
        </w:tc>
      </w:tr>
      <w:tr>
        <w:tc>
          <w:tcPr>
            <w:tcW w:type="dxa" w:w="1692"/>
          </w:tcPr>
          <w:p>
            <w:pPr>
              <w:pStyle w:val="Compact"/>
              <w:jc w:val="left"/>
            </w:pPr>
            <w:r>
              <w:t>表格单元格内边距</w:t>
            </w:r>
          </w:p>
        </w:tc>
        <w:tc>
          <w:tcPr>
            <w:tcW w:type="dxa" w:w="1692"/>
          </w:tcPr>
          <w:p>
            <w:pPr>
              <w:pStyle w:val="Compact"/>
              <w:jc w:val="center"/>
            </w:pPr>
            <w:r>
              <w:t>不支持</w:t>
            </w:r>
          </w:p>
        </w:tc>
        <w:tc>
          <w:tcPr>
            <w:tcW w:type="dxa" w:w="1692"/>
          </w:tcPr>
          <w:p>
            <w:pPr>
              <w:pStyle w:val="Compact"/>
              <w:jc w:val="center"/>
            </w:pPr>
            <w:r>
              <w:t>不支持</w:t>
            </w:r>
          </w:p>
        </w:tc>
        <w:tc>
          <w:tcPr>
            <w:tcW w:type="dxa" w:w="1692"/>
          </w:tcPr>
          <w:p>
            <w:pPr>
              <w:pStyle w:val="Compact"/>
              <w:jc w:val="center"/>
            </w:pPr>
            <w:r>
              <w:t>逐格调</w:t>
            </w:r>
          </w:p>
        </w:tc>
        <w:tc>
          <w:tcPr>
            <w:tcW w:type="dxa" w:w="1692"/>
          </w:tcPr>
          <w:p>
            <w:pPr>
              <w:pStyle w:val="Compact"/>
              <w:jc w:val="center"/>
            </w:pPr>
            <w:r>
              <w:t>声明一行</w:t>
            </w:r>
          </w:p>
        </w:tc>
      </w:tr>
      <w:tr>
        <w:tc>
          <w:tcPr>
            <w:tcW w:type="dxa" w:w="1692"/>
          </w:tcPr>
          <w:p>
            <w:pPr>
              <w:pStyle w:val="Compact"/>
              <w:jc w:val="left"/>
            </w:pPr>
            <w:r>
              <w:t>页眉页脚距边界</w:t>
            </w:r>
          </w:p>
        </w:tc>
        <w:tc>
          <w:tcPr>
            <w:tcW w:type="dxa" w:w="1692"/>
          </w:tcPr>
          <w:p>
            <w:pPr>
              <w:pStyle w:val="Compact"/>
              <w:jc w:val="center"/>
            </w:pPr>
            <w:r>
              <w:t>不支持</w:t>
            </w:r>
          </w:p>
        </w:tc>
        <w:tc>
          <w:tcPr>
            <w:tcW w:type="dxa" w:w="1692"/>
          </w:tcPr>
          <w:p>
            <w:pPr>
              <w:pStyle w:val="Compact"/>
              <w:jc w:val="center"/>
            </w:pPr>
            <w:r>
              <w:t>不支持</w:t>
            </w:r>
          </w:p>
        </w:tc>
        <w:tc>
          <w:tcPr>
            <w:tcW w:type="dxa" w:w="1692"/>
          </w:tcPr>
          <w:p>
            <w:pPr>
              <w:pStyle w:val="Compact"/>
              <w:jc w:val="center"/>
            </w:pPr>
            <w:r>
              <w:t>手工设</w:t>
            </w:r>
          </w:p>
        </w:tc>
        <w:tc>
          <w:tcPr>
            <w:tcW w:type="dxa" w:w="1692"/>
          </w:tcPr>
          <w:p>
            <w:pPr>
              <w:pStyle w:val="Compact"/>
              <w:jc w:val="center"/>
            </w:pPr>
            <w:r>
              <w:t>声明一行</w:t>
            </w:r>
          </w:p>
        </w:tc>
      </w:tr>
      <w:tr>
        <w:tc>
          <w:tcPr>
            <w:tcW w:type="dxa" w:w="1692"/>
          </w:tcPr>
          <w:p>
            <w:pPr>
              <w:pStyle w:val="Compact"/>
              <w:jc w:val="left"/>
            </w:pPr>
            <w:r>
              <w:t>图片宽度与居中</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逐张调</w:t>
            </w:r>
          </w:p>
        </w:tc>
        <w:tc>
          <w:tcPr>
            <w:tcW w:type="dxa" w:w="1692"/>
          </w:tcPr>
          <w:p>
            <w:pPr>
              <w:pStyle w:val="Compact"/>
              <w:jc w:val="center"/>
            </w:pPr>
            <w:r>
              <w:t>声明一行</w:t>
            </w:r>
          </w:p>
        </w:tc>
      </w:tr>
      <w:tr>
        <w:tc>
          <w:tcPr>
            <w:tcW w:type="dxa" w:w="1692"/>
          </w:tcPr>
          <w:p>
            <w:pPr>
              <w:pStyle w:val="Compact"/>
              <w:jc w:val="left"/>
            </w:pPr>
            <w:r>
              <w:t>字体自由指定</w:t>
            </w:r>
          </w:p>
        </w:tc>
        <w:tc>
          <w:tcPr>
            <w:tcW w:type="dxa" w:w="1692"/>
          </w:tcPr>
          <w:p>
            <w:pPr>
              <w:pStyle w:val="Compact"/>
              <w:jc w:val="center"/>
            </w:pPr>
            <w:r>
              <w:t>支持</w:t>
            </w:r>
          </w:p>
        </w:tc>
        <w:tc>
          <w:tcPr>
            <w:tcW w:type="dxa" w:w="1692"/>
          </w:tcPr>
          <w:p>
            <w:pPr>
              <w:pStyle w:val="Compact"/>
              <w:jc w:val="center"/>
            </w:pPr>
            <w:r>
              <w:t>支持</w:t>
            </w:r>
          </w:p>
        </w:tc>
        <w:tc>
          <w:tcPr>
            <w:tcW w:type="dxa" w:w="1692"/>
          </w:tcPr>
          <w:p>
            <w:pPr>
              <w:pStyle w:val="Compact"/>
              <w:jc w:val="center"/>
            </w:pPr>
            <w:r>
              <w:t>逐段设</w:t>
            </w:r>
          </w:p>
        </w:tc>
        <w:tc>
          <w:tcPr>
            <w:tcW w:type="dxa" w:w="1692"/>
          </w:tcPr>
          <w:p>
            <w:pPr>
              <w:pStyle w:val="Compact"/>
              <w:jc w:val="center"/>
            </w:pPr>
            <w:r>
              <w:t>声明一行</w:t>
            </w:r>
          </w:p>
        </w:tc>
      </w:tr>
      <w:tr>
        <w:tc>
          <w:tcPr>
            <w:tcW w:type="dxa" w:w="1692"/>
          </w:tcPr>
          <w:p>
            <w:pPr>
              <w:pStyle w:val="Compact"/>
              <w:jc w:val="left"/>
            </w:pPr>
            <w:r>
              <w:t>规则可声明进 Git</w:t>
            </w:r>
          </w:p>
        </w:tc>
        <w:tc>
          <w:tcPr>
            <w:tcW w:type="dxa" w:w="1692"/>
          </w:tcPr>
          <w:p>
            <w:pPr>
              <w:pStyle w:val="Compact"/>
              <w:jc w:val="center"/>
            </w:pPr>
            <w:r>
              <w:t>散在手工操作里</w:t>
            </w:r>
          </w:p>
        </w:tc>
        <w:tc>
          <w:tcPr>
            <w:tcW w:type="dxa" w:w="1692"/>
          </w:tcPr>
          <w:p>
            <w:pPr>
              <w:pStyle w:val="Compact"/>
              <w:jc w:val="center"/>
            </w:pPr>
            <w:r>
              <w:t>同左</w:t>
            </w:r>
          </w:p>
        </w:tc>
        <w:tc>
          <w:tcPr>
            <w:tcW w:type="dxa" w:w="1692"/>
          </w:tcPr>
          <w:p>
            <w:pPr>
              <w:pStyle w:val="Compact"/>
              <w:jc w:val="center"/>
            </w:pPr>
            <w:r>
              <w:t>不可</w:t>
            </w:r>
          </w:p>
        </w:tc>
        <w:tc>
          <w:tcPr>
            <w:tcW w:type="dxa" w:w="1692"/>
          </w:tcPr>
          <w:p>
            <w:pPr>
              <w:pStyle w:val="Compact"/>
              <w:jc w:val="center"/>
            </w:pPr>
            <w:r>
              <w:t>一个规则文件</w:t>
            </w:r>
          </w:p>
        </w:tc>
      </w:tr>
      <w:tr>
        <w:tc>
          <w:tcPr>
            <w:tcW w:type="dxa" w:w="1692"/>
          </w:tcPr>
          <w:p>
            <w:pPr>
              <w:pStyle w:val="Compact"/>
              <w:jc w:val="left"/>
            </w:pPr>
            <w:r>
              <w:t>报错还是静默走样</w:t>
            </w:r>
          </w:p>
        </w:tc>
        <w:tc>
          <w:tcPr>
            <w:tcW w:type="dxa" w:w="1692"/>
          </w:tcPr>
          <w:p>
            <w:pPr>
              <w:pStyle w:val="Compact"/>
              <w:jc w:val="center"/>
            </w:pPr>
            <w:r>
              <w:t>多为静默</w:t>
            </w:r>
          </w:p>
        </w:tc>
        <w:tc>
          <w:tcPr>
            <w:tcW w:type="dxa" w:w="1692"/>
          </w:tcPr>
          <w:p>
            <w:pPr>
              <w:pStyle w:val="Compact"/>
              <w:jc w:val="center"/>
            </w:pPr>
            <w:r>
              <w:t>多为静默</w:t>
            </w:r>
          </w:p>
        </w:tc>
        <w:tc>
          <w:tcPr>
            <w:tcW w:type="dxa" w:w="1692"/>
          </w:tcPr>
          <w:p>
            <w:pPr>
              <w:pStyle w:val="Compact"/>
              <w:jc w:val="center"/>
            </w:pPr>
            <w:r>
              <w:t>靠肉眼</w:t>
            </w:r>
          </w:p>
        </w:tc>
        <w:tc>
          <w:tcPr>
            <w:tcW w:type="dxa" w:w="1692"/>
          </w:tcPr>
          <w:p>
            <w:pPr>
              <w:pStyle w:val="Compact"/>
              <w:jc w:val="center"/>
            </w:pPr>
            <w:r>
              <w:t>预检指行号</w:t>
            </w:r>
          </w:p>
        </w:tc>
      </w:tr>
      <w:tr>
        <w:tc>
          <w:tcPr>
            <w:tcW w:type="dxa" w:w="1692"/>
          </w:tcPr>
          <w:p>
            <w:pPr>
              <w:pStyle w:val="Compact"/>
              <w:jc w:val="left"/>
            </w:pPr>
            <w:r>
              <w:t>交付前的质量门禁</w:t>
            </w:r>
          </w:p>
        </w:tc>
        <w:tc>
          <w:tcPr>
            <w:tcW w:type="dxa" w:w="1692"/>
          </w:tcPr>
          <w:p>
            <w:pPr>
              <w:pStyle w:val="Compact"/>
              <w:jc w:val="center"/>
            </w:pPr>
            <w:r>
              <w:t>无</w:t>
            </w:r>
          </w:p>
        </w:tc>
        <w:tc>
          <w:tcPr>
            <w:tcW w:type="dxa" w:w="1692"/>
          </w:tcPr>
          <w:p>
            <w:pPr>
              <w:pStyle w:val="Compact"/>
              <w:jc w:val="center"/>
            </w:pPr>
            <w:r>
              <w:t>无</w:t>
            </w:r>
          </w:p>
        </w:tc>
        <w:tc>
          <w:tcPr>
            <w:tcW w:type="dxa" w:w="1692"/>
          </w:tcPr>
          <w:p>
            <w:pPr>
              <w:pStyle w:val="Compact"/>
              <w:jc w:val="center"/>
            </w:pPr>
            <w:r>
              <w:t>无</w:t>
            </w:r>
          </w:p>
        </w:tc>
        <w:tc>
          <w:tcPr>
            <w:tcW w:type="dxa" w:w="1692"/>
          </w:tcPr>
          <w:p>
            <w:pPr>
              <w:pStyle w:val="Compact"/>
              <w:jc w:val="center"/>
            </w:pPr>
            <w:r>
              <w:t>三道</w:t>
            </w:r>
          </w:p>
        </w:tc>
      </w:tr>
    </w:tbl>
    <w:p>
      <w:pPr>
        <w:pStyle w:val="TableNote"/>
      </w:pPr>
      <w:r>
        <w:t>注：判定以各家</w:t>
      </w:r>
      <w:r>
        <w:rPr>
          <w:b/>
        </w:rPr>
        <w:t>默认导出</w:t>
      </w:r>
      <w:r>
        <w:t>为准（不装模板、不写 filter）；「默认即有」为如实标注——跨页重复表头这类能力 Pandoc 与 Quarto 本就提供。本方案的差异不在单项有无，而在全部要素由同一份声明式规则文件统一描述。</w:t>
      </w:r>
    </w:p>
    <w:p>
      <w:pPr>
        <w:pStyle w:val="BodyText"/>
      </w:pPr>
      <w:r>
        <w:t>对照结果证实，相较于传统工具方案，本文提出的 md-to-word 在保持纯文本写作灵活性的同时，补齐了中文学术规范所必需的排版能力，显著降低了科研写作在终稿交付阶段的时间损耗。</w:t>
      </w:r>
    </w:p>
    <w:p>
      <w:pPr>
        <w:pStyle w:val="Heading1"/>
      </w:pPr>
      <w:r>
        <w:t>第四章 结论</w:t>
      </w:r>
    </w:p>
    <w:p>
      <w:pPr>
        <w:pStyle w:val="FirstParagraph"/>
      </w:pPr>
      <w:r>
        <w:t>本文针对科研与技术人员在学术论文交付阶段的排版痛点，系统构建了基于声明式规则与 OOXML 重构的 Markdown 导出引擎。通过三道确定性自动化门禁与深层文档工程优化，实现了 Git 版本管理与严肃学术规范的统一，为智能化科研写作提供了可靠的工具支撑。</w:t>
      </w:r>
    </w:p>
    <w:p>
      <w:pPr>
        <w:pStyle w:val="ReferencesTitle"/>
      </w:pPr>
      <w:r>
        <w:t>参考文献</w:t>
      </w:r>
    </w:p>
    <w:p>
      <w:pPr>
        <w:pStyle w:val="Bibliography"/>
      </w:pPr>
      <w:bookmarkStart w:id="101" w:name="_Ref_macfarlane2020"/>
      <w:r>
        <w:t xml:space="preserve">[1]MACFARLANE J. Pandoc: A Universal Document Converter[M/OL]. GitHub repository, 2020. https://pandoc.org.</w:t>
      </w:r>
      <w:bookmarkEnd w:id="101"/>
    </w:p>
    <w:p>
      <w:pPr>
        <w:pStyle w:val="Bibliography"/>
      </w:pPr>
      <w:bookmarkStart w:id="102" w:name="_Ref_ecma376"/>
      <w:r>
        <w:t xml:space="preserve">[2]INTERNATIONAL E. Information technology – Document description and processing languages – Office Open XML File Formats (ECMA-376 5th edition)[A]. Geneva: ECMA International, 2021.</w:t>
      </w:r>
      <w:bookmarkEnd w:id="102"/>
    </w:p>
    <w:sectPr>
      <w:footerReference w:type="default" r:id="rId7"/>
      <w:headerReference w:type="default" r:id="rId8"/>
      <w:pgSz w:w="11906" w:h="16838"/>
      <w:pgMar w:top="1440" w:right="1440" w:bottom="1440" w:left="2007" w:header="720" w:footer="720" w:gutter="0"/>
      <w:pgNumType w:fmt="decimal" w:start="1"/>
      <w:cols w:space="720"/>
      <w:docGrid w:linePitch="422" w:type="lines"/>
    </w:sectPr>
  </w:body>
</w:document>
</file>

<file path=word/fontTable.xml><?xml version="1.0" encoding="utf-8"?>
<w:font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charset w:val="00"/>
    <w:family w:val="roman"/>
    <w:pitch w:val="variable"/>
  </w:font>
  <w:font w:name="Arial">
    <w:charset w:val="00"/>
    <w:family w:val="swiss"/>
    <w:pitch w:val="variable"/>
  </w:font>
  <w:font w:name="Cambria Math">
    <w:charset w:val="00"/>
    <w:family w:val="roman"/>
    <w:pitch w:val="variable"/>
  </w:font>
  <w:font w:name="Calibri">
    <w:charset w:val="00"/>
    <w:family w:val="swiss"/>
    <w:pitch w:val="variable"/>
  </w:font>
  <w:font w:name="宋体">
    <w:altName w:val="SimSun"/>
    <w:charset w:val="86"/>
    <w:family w:val="auto"/>
    <w:pitch w:val="variable"/>
  </w:font>
  <w:font w:name="黑体">
    <w:altName w:val="SimHei"/>
    <w:charset w:val="86"/>
    <w:family w:val="auto"/>
    <w:pitch w:val="variable"/>
  </w:font>
  <w:font w:name="楷体">
    <w:altName w:val="KaiTi"/>
    <w:charset w:val="86"/>
    <w:family w:val="auto"/>
    <w:pitch w:val="variable"/>
  </w:font>
  <w:font w:name="仿宋">
    <w:altName w:val="FangSong"/>
    <w:charset w:val="86"/>
    <w:family w:val="auto"/>
    <w:pitch w:val="variable"/>
  </w:font>
  <w:font w:name="DengXian">
    <w:altName w:val="等线"/>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   \* MERGEFORMAT </w:instrText>
      <w:fldChar w:fldCharType="separate"/>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t xml:space="preserve">传统工具在未定制模板时容易导致中西文字体脱节，且无法原生处理带点导线的动态计算目录。</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instrText xml:space="preserve">STYLEREF  "Heading 1"   \* MERGEFORMAT </w:instrText>
      <w:fldChar w:fldCharType="separate"/>
      <w:fldChar w:fldCharType="end"/>
    </w:r>
  </w:p>
</w:hdr>
</file>

<file path=word/numbering.xml><?xml version="1.0" encoding="utf-8"?>
<w:numbering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settings.xml><?xml version="1.0" encoding="utf-8"?>
<w:setting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bordersDoNotSurroundHeader/>
  <w:bordersDoNotSurroundFooter/>
  <w:defaultTabStop w:val="4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sz w:val="24"/>
        <w:szCs w:val="24"/>
        <w:lang w:val="en-US" w:eastAsia="zh-CN" w:bidi="ar-SA"/>
      </w:rPr>
    </w:rPrDefault>
    <w:pPrDefault>
      <w:pPr>
        <w:spacing w:before="0" w:after="0" w:line="240" w:lineRule="auto"/>
      </w:pPr>
    </w:pPrDefault>
  </w:docDefaults>
  <w:latentStyles w:defLockedState="0" w:defUIPriority="99" w:defSemiHidden="0" w:defUnhideWhenUsed="0" w:defQFormat="0" w:count="376"/>
  <w:style w:type="paragraph" w:default="1" w:styleId="Normal">
    <w:name w:val="Normal"/>
    <w:qFormat/>
    <w:pPr>
      <w:spacing w:line="360" w:lineRule="auto" w:before="0" w:after="0"/>
      <w:ind w:firstLineChars="200"/>
      <w:jc w:val="both"/>
    </w:pPr>
    <w:rPr>
      <w:rFonts w:eastAsia="宋体" w:ascii="Times New Roman" w:hAnsi="Times New Roman"/>
      <w:b w:val="0"/>
      <w:i w:val="0"/>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tblPr>
      <w:jc w:val="center"/>
      <w:tblBorders>
        <w:top w:val="single" w:sz="12" w:space="0" w:color="000000"/>
        <w:bottom w:val="single" w:sz="12" w:space="0" w:color="000000"/>
        <w:left w:val="none"/>
        <w:right w:val="none"/>
        <w:insideH w:val="none"/>
        <w:insideV w:val="none"/>
      </w:tblBorders>
      <w:tblCellMar>
        <w:top w:w="0" w:type="dxa"/>
        <w:left w:w="0" w:type="dxa"/>
        <w:bottom w:w="0" w:type="dxa"/>
        <w:right w:w="0" w:type="dxa"/>
      </w:tblCellMar>
    </w:tblPr>
    <w:tblStylePr w:type="firstRow">
      <w:pPr>
        <w:spacing w:line="240" w:lineRule="auto" w:before="0" w:after="0"/>
        <w:ind w:firstLineChars="0"/>
        <w:jc w:val="center"/>
      </w:pPr>
      <w:rPr>
        <w:rFonts w:eastAsia="宋体" w:ascii="Times New Roman" w:hAnsi="Times New Roman"/>
        <w:b/>
        <w:i w:val="0"/>
        <w:color w:val="000000"/>
        <w:sz w:val="21"/>
      </w:rPr>
      <w:trPr>
        <w:tblHeader/>
      </w:trPr>
      <w:tcPr>
        <w:tcBorders>
          <w:bottom w:val="single" w:sz="6" w:space="0" w:color="000000"/>
        </w:tcBorders>
      </w:tcPr>
    </w:tblStylePr>
    <w:tblStylePr w:type="wholeTable">
      <w:tcPr>
        <w:vAlign w:val="center"/>
      </w:tcPr>
    </w:tblStylePr>
  </w:style>
  <w:style w:type="paragraph" w:styleId="Header">
    <w:name w:val="header"/>
    <w:basedOn w:val="Normal"/>
    <w:link w:val="HeaderChar"/>
    <w:qFormat/>
    <w:pPr>
      <w:pBdr>
        <w:bottom w:val="thinThickMediumGap" w:sz="12" w:space="1" w:color="auto"/>
      </w:pBdr>
      <w:spacing w:line="240" w:lineRule="auto" w:before="0" w:after="0"/>
      <w:ind w:firstLineChars="0"/>
      <w:jc w:val="center"/>
    </w:pPr>
    <w:rPr>
      <w:rFonts w:eastAsia="宋体" w:ascii="Times New Roman" w:hAnsi="Times New Roman"/>
      <w:b w:val="0"/>
      <w:i w:val="0"/>
      <w:color w:val="000000"/>
      <w:sz w:val="18"/>
    </w:rPr>
  </w:style>
  <w:style w:type="character" w:styleId="HeaderChar">
    <w:name w:val="Header Char"/>
    <w:basedOn w:val="DefaultParagraphFont"/>
    <w:link w:val="Header"/>
    <w:qFormat/>
    <w:rPr>
      <w:rFonts w:eastAsia="宋体" w:ascii="Times New Roman" w:hAnsi="Times New Roman"/>
      <w:b w:val="0"/>
      <w:i w:val="0"/>
      <w:color w:val="000000"/>
      <w:sz w:val="18"/>
    </w:rPr>
  </w:style>
  <w:style w:type="paragraph" w:styleId="Footer">
    <w:name w:val="footer"/>
    <w:basedOn w:val="Normal"/>
    <w:link w:val="FooterChar"/>
    <w:qFormat/>
    <w:pPr>
      <w:spacing w:line="240" w:lineRule="auto" w:before="0" w:after="0"/>
      <w:ind w:firstLineChars="0"/>
      <w:jc w:val="center"/>
    </w:pPr>
    <w:rPr>
      <w:rFonts w:eastAsia="宋体" w:ascii="Times New Roman" w:hAnsi="Times New Roman"/>
      <w:b w:val="0"/>
      <w:i w:val="0"/>
      <w:color w:val="000000"/>
      <w:sz w:val="18"/>
    </w:rPr>
  </w:style>
  <w:style w:type="character" w:styleId="FooterChar">
    <w:name w:val="Footer Char"/>
    <w:basedOn w:val="DefaultParagraphFont"/>
    <w:link w:val="Footer"/>
    <w:qFormat/>
    <w:rPr>
      <w:rFonts w:eastAsia="宋体" w:ascii="Times New Roman" w:hAnsi="Times New Roman"/>
      <w:b w:val="0"/>
      <w:i w:val="0"/>
      <w:color w:val="000000"/>
      <w:sz w:val="18"/>
    </w:rPr>
  </w:style>
  <w:style w:type="paragraph" w:styleId="BodyText">
    <w:name w:val="Body Text"/>
    <w:basedOn w:val="Normal"/>
    <w:link w:val="BodyTextChar"/>
    <w:qFormat/>
    <w:pPr>
      <w:spacing w:line="360" w:lineRule="auto" w:before="0" w:after="0"/>
      <w:ind w:firstLineChars="200"/>
      <w:jc w:val="both"/>
    </w:pPr>
    <w:rPr>
      <w:rFonts w:eastAsia="宋体" w:ascii="Times New Roman" w:hAnsi="Times New Roman"/>
      <w:b w:val="0"/>
      <w:i w:val="0"/>
      <w:color w:val="000000"/>
      <w:sz w:val="24"/>
    </w:rPr>
  </w:style>
  <w:style w:type="character" w:styleId="BodyTextChar">
    <w:name w:val="Body Text Char"/>
    <w:basedOn w:val="DefaultParagraphFont"/>
    <w:link w:val="BodyText"/>
    <w:qFormat/>
    <w:rPr>
      <w:rFonts w:eastAsia="宋体" w:ascii="Times New Roman" w:hAnsi="Times New Roman"/>
      <w:b w:val="0"/>
      <w:i w:val="0"/>
      <w:color w:val="000000"/>
      <w:sz w:val="24"/>
    </w:rPr>
  </w:style>
  <w:style w:type="paragraph" w:styleId="Quote">
    <w:name w:val="Quote"/>
    <w:basedOn w:val="Normal"/>
    <w:link w:val="QuoteChar"/>
    <w:qFormat/>
  </w:style>
  <w:style w:type="character" w:styleId="QuoteChar">
    <w:name w:val="Quote Char"/>
    <w:basedOn w:val="DefaultParagraphFont"/>
    <w:link w:val="Quote"/>
    <w:qFormat/>
  </w:style>
  <w:style w:type="paragraph" w:styleId="IntenseQuote">
    <w:name w:val="Intense Quote"/>
    <w:basedOn w:val="Normal"/>
    <w:link w:val="IntenseQuoteChar"/>
    <w:qFormat/>
  </w:style>
  <w:style w:type="character" w:styleId="IntenseQuoteChar">
    <w:name w:val="IntenseQuote Char"/>
    <w:basedOn w:val="DefaultParagraphFont"/>
    <w:link w:val="IntenseQuote"/>
    <w:qFormat/>
  </w:style>
  <w:style w:type="paragraph" w:styleId="Heading1">
    <w:name w:val="heading 1"/>
    <w:aliases w:val="Heading 1"/>
    <w:basedOn w:val="Normal"/>
    <w:next w:val="Normal"/>
    <w:link w:val="Heading1Char"/>
    <w:qFormat/>
    <w:pPr>
      <w:keepNext/>
      <w:keepLines/>
      <w:spacing w:line="360" w:lineRule="auto" w:before="360" w:after="240"/>
      <w:ind w:firstLineChars="0"/>
      <w:jc w:val="center"/>
      <w:outlineLvl w:val="0"/>
    </w:pPr>
    <w:rPr>
      <w:rFonts w:eastAsia="黑体" w:ascii="Times New Roman" w:hAnsi="Times New Roman"/>
      <w:b/>
      <w:bCs/>
      <w:i w:val="0"/>
      <w:color w:val="000000"/>
      <w:sz w:val="32"/>
      <w:szCs w:val="32"/>
    </w:rPr>
  </w:style>
  <w:style w:type="character" w:styleId="Heading1Char">
    <w:name w:val="Heading 1 Char"/>
    <w:basedOn w:val="DefaultParagraphFont"/>
    <w:link w:val="Heading1"/>
    <w:qFormat/>
    <w:rPr>
      <w:rFonts w:eastAsia="黑体" w:ascii="Times New Roman" w:hAnsi="Times New Roman"/>
      <w:b/>
      <w:bCs/>
      <w:i w:val="0"/>
      <w:color w:val="000000"/>
      <w:sz w:val="32"/>
      <w:szCs w:val="32"/>
    </w:rPr>
  </w:style>
  <w:style w:type="paragraph" w:styleId="Heading2">
    <w:name w:val="heading 2"/>
    <w:basedOn w:val="Normal"/>
    <w:next w:val="Normal"/>
    <w:link w:val="Heading2Char"/>
    <w:qFormat/>
    <w:pPr>
      <w:keepNext/>
      <w:keepLines/>
      <w:spacing w:line="360" w:lineRule="auto" w:before="240" w:after="120"/>
      <w:ind w:firstLineChars="0"/>
      <w:jc w:val="left"/>
      <w:outlineLvl w:val="1"/>
    </w:pPr>
    <w:rPr>
      <w:rFonts w:eastAsia="黑体" w:ascii="Times New Roman" w:hAnsi="Times New Roman"/>
      <w:b/>
      <w:bCs/>
      <w:i w:val="0"/>
      <w:color w:val="000000"/>
      <w:sz w:val="28"/>
      <w:szCs w:val="28"/>
    </w:rPr>
  </w:style>
  <w:style w:type="character" w:styleId="Heading2Char">
    <w:name w:val="Heading 2 Char"/>
    <w:basedOn w:val="DefaultParagraphFont"/>
    <w:link w:val="Heading2"/>
    <w:qFormat/>
    <w:rPr>
      <w:rFonts w:eastAsia="黑体" w:ascii="Times New Roman" w:hAnsi="Times New Roman"/>
      <w:b/>
      <w:bCs/>
      <w:i w:val="0"/>
      <w:color w:val="000000"/>
      <w:sz w:val="28"/>
      <w:szCs w:val="28"/>
    </w:rPr>
  </w:style>
  <w:style w:type="paragraph" w:styleId="Heading3">
    <w:name w:val="heading 3"/>
    <w:basedOn w:val="Normal"/>
    <w:next w:val="Normal"/>
    <w:link w:val="Heading3Char"/>
    <w:qFormat/>
    <w:pPr>
      <w:keepNext/>
      <w:keepLines/>
      <w:spacing w:line="360" w:lineRule="auto" w:before="120" w:after="0"/>
      <w:ind w:firstLineChars="0"/>
      <w:jc w:val="left"/>
      <w:outlineLvl w:val="2"/>
    </w:pPr>
    <w:rPr>
      <w:rFonts w:eastAsia="黑体" w:ascii="Times New Roman" w:hAnsi="Times New Roman"/>
      <w:b/>
      <w:bCs/>
      <w:i w:val="0"/>
      <w:color w:val="000000"/>
      <w:sz w:val="24"/>
    </w:rPr>
  </w:style>
  <w:style w:type="character" w:styleId="Heading3Char">
    <w:name w:val="Heading 3 Char"/>
    <w:basedOn w:val="DefaultParagraphFont"/>
    <w:link w:val="Heading3"/>
    <w:qFormat/>
    <w:rPr>
      <w:rFonts w:eastAsia="黑体" w:ascii="Times New Roman" w:hAnsi="Times New Roman"/>
      <w:b/>
      <w:bCs/>
      <w:i w:val="0"/>
      <w:color w:val="000000"/>
      <w:sz w:val="24"/>
    </w:rPr>
  </w:style>
  <w:style w:type="paragraph" w:styleId="Heading4">
    <w:name w:val="heading 4"/>
    <w:basedOn w:val="Normal"/>
    <w:next w:val="Normal"/>
    <w:link w:val="Heading4Char"/>
    <w:qFormat/>
    <w:pPr>
      <w:keepNext/>
      <w:keepLines/>
      <w:outlineLvl w:val="3"/>
    </w:pPr>
    <w:rPr>
      <w:b/>
      <w:bCs/>
      <w:i/>
      <w:iCs/>
      <w:color w:val="000000"/>
    </w:rPr>
  </w:style>
  <w:style w:type="character" w:styleId="Heading4Char">
    <w:name w:val="Heading 4 Char"/>
    <w:basedOn w:val="DefaultParagraphFont"/>
    <w:link w:val="Heading4"/>
    <w:qFormat/>
    <w:rPr>
      <w:b/>
      <w:bCs/>
      <w:i/>
      <w:iCs/>
      <w:color w:val="000000"/>
    </w:rPr>
  </w:style>
  <w:style w:type="paragraph" w:styleId="Heading5">
    <w:name w:val="heading 5"/>
    <w:basedOn w:val="Normal"/>
    <w:next w:val="Normal"/>
    <w:link w:val="Heading5Char"/>
    <w:qFormat/>
    <w:pPr>
      <w:keepNext/>
      <w:keepLines/>
      <w:outlineLvl w:val="4"/>
    </w:pPr>
  </w:style>
  <w:style w:type="character" w:styleId="Heading5Char">
    <w:name w:val="Heading 5 Char"/>
    <w:basedOn w:val="DefaultParagraphFont"/>
    <w:link w:val="Heading5"/>
    <w:qFormat/>
  </w:style>
  <w:style w:type="paragraph" w:styleId="Heading6">
    <w:name w:val="heading 6"/>
    <w:basedOn w:val="Normal"/>
    <w:next w:val="Normal"/>
    <w:link w:val="Heading6Char"/>
    <w:qFormat/>
    <w:pPr>
      <w:keepNext/>
      <w:keepLines/>
      <w:outlineLvl w:val="5"/>
    </w:pPr>
    <w:rPr>
      <w:i/>
      <w:iCs/>
      <w:color w:val="000000"/>
    </w:rPr>
  </w:style>
  <w:style w:type="character" w:styleId="Heading6Char">
    <w:name w:val="Heading 6 Char"/>
    <w:basedOn w:val="DefaultParagraphFont"/>
    <w:link w:val="Heading6"/>
    <w:qFormat/>
    <w:rPr>
      <w:i/>
      <w:iCs/>
      <w:color w:val="000000"/>
    </w:rPr>
  </w:style>
  <w:style w:type="paragraph" w:styleId="Heading7">
    <w:name w:val="heading 7"/>
    <w:basedOn w:val="Normal"/>
    <w:next w:val="Normal"/>
    <w:link w:val="Heading7Char"/>
    <w:qFormat/>
    <w:pPr>
      <w:keepNext/>
      <w:keepLines/>
      <w:outlineLvl w:val="6"/>
    </w:pPr>
    <w:rPr>
      <w:i/>
      <w:iCs/>
      <w:color w:val="000000"/>
    </w:rPr>
  </w:style>
  <w:style w:type="character" w:styleId="Heading7Char">
    <w:name w:val="Heading 7 Char"/>
    <w:basedOn w:val="DefaultParagraphFont"/>
    <w:link w:val="Heading7"/>
    <w:qFormat/>
    <w:rPr>
      <w:i/>
      <w:iCs/>
      <w:color w:val="000000"/>
    </w:rPr>
  </w:style>
  <w:style w:type="paragraph" w:styleId="Heading8">
    <w:name w:val="heading 8"/>
    <w:basedOn w:val="Normal"/>
    <w:next w:val="Normal"/>
    <w:link w:val="Heading8Char"/>
    <w:qFormat/>
    <w:pPr>
      <w:keepNext/>
      <w:keepLines/>
      <w:outlineLvl w:val="7"/>
    </w:pPr>
    <w:rPr>
      <w:color w:val="000000"/>
      <w:sz w:val="20"/>
      <w:szCs w:val="20"/>
    </w:rPr>
  </w:style>
  <w:style w:type="character" w:styleId="Heading8Char">
    <w:name w:val="Heading 8 Char"/>
    <w:basedOn w:val="DefaultParagraphFont"/>
    <w:link w:val="Heading8"/>
    <w:qFormat/>
    <w:rPr>
      <w:color w:val="000000"/>
      <w:sz w:val="20"/>
      <w:szCs w:val="20"/>
    </w:rPr>
  </w:style>
  <w:style w:type="paragraph" w:styleId="Heading9">
    <w:name w:val="heading 9"/>
    <w:basedOn w:val="Normal"/>
    <w:next w:val="Normal"/>
    <w:link w:val="Heading9Char"/>
    <w:qFormat/>
    <w:pPr>
      <w:keepNext/>
      <w:keepLines/>
      <w:outlineLvl w:val="8"/>
    </w:pPr>
    <w:rPr>
      <w:i/>
      <w:iCs/>
      <w:color w:val="000000"/>
      <w:sz w:val="20"/>
      <w:szCs w:val="20"/>
    </w:rPr>
  </w:style>
  <w:style w:type="character" w:styleId="Heading9Char">
    <w:name w:val="Heading 9 Char"/>
    <w:basedOn w:val="DefaultParagraphFont"/>
    <w:link w:val="Heading9"/>
    <w:qFormat/>
    <w:rPr>
      <w:i/>
      <w:iCs/>
      <w:color w:val="000000"/>
      <w:sz w:val="20"/>
      <w:szCs w:val="20"/>
    </w:rPr>
  </w:style>
  <w:style w:type="paragraph" w:styleId="Title">
    <w:name w:val="Title"/>
    <w:basedOn w:val="Normal"/>
    <w:next w:val="Normal"/>
    <w:link w:val="TitleChar"/>
    <w:qFormat/>
    <w:pPr>
      <w:spacing w:line="360" w:lineRule="auto" w:before="0" w:after="240"/>
      <w:ind w:firstLineChars="0"/>
      <w:jc w:val="center"/>
    </w:pPr>
    <w:rPr>
      <w:rFonts w:eastAsia="黑体" w:ascii="Times New Roman" w:hAnsi="Times New Roman"/>
      <w:b/>
      <w:i w:val="0"/>
      <w:color w:val="000000"/>
      <w:spacing w:val="20"/>
      <w:sz w:val="44"/>
      <w:szCs w:val="44"/>
    </w:rPr>
  </w:style>
  <w:style w:type="character" w:styleId="TitleChar">
    <w:name w:val="Title Char"/>
    <w:basedOn w:val="DefaultParagraphFont"/>
    <w:link w:val="Title"/>
    <w:qFormat/>
    <w:rPr>
      <w:rFonts w:eastAsia="黑体" w:ascii="Times New Roman" w:hAnsi="Times New Roman"/>
      <w:b/>
      <w:i w:val="0"/>
      <w:color w:val="000000"/>
      <w:spacing w:val="20"/>
      <w:sz w:val="44"/>
      <w:szCs w:val="44"/>
    </w:rPr>
  </w:style>
  <w:style w:type="paragraph" w:styleId="Subtitle">
    <w:name w:val="Subtitle"/>
    <w:basedOn w:val="Normal"/>
    <w:next w:val="Normal"/>
    <w:link w:val="SubtitleChar"/>
    <w:qFormat/>
    <w:rPr>
      <w:i/>
      <w:iCs/>
      <w:color w:val="000000"/>
      <w:sz w:val="24"/>
      <w:szCs w:val="24"/>
    </w:rPr>
  </w:style>
  <w:style w:type="character" w:styleId="SubtitleChar">
    <w:name w:val="Subtitle Char"/>
    <w:basedOn w:val="DefaultParagraphFont"/>
    <w:link w:val="Subtitle"/>
    <w:qFormat/>
    <w:rPr>
      <w:i/>
      <w:iCs/>
      <w:color w:val="000000"/>
      <w:sz w:val="24"/>
      <w:szCs w:val="24"/>
    </w:rPr>
  </w:style>
  <w:style w:type="paragraph" w:styleId="Author">
    <w:name w:val="Author"/>
    <w:basedOn w:val="Normal"/>
    <w:qFormat/>
  </w:style>
  <w:style w:type="paragraph" w:styleId="Date">
    <w:name w:val="Date"/>
    <w:basedOn w:val="Normal"/>
    <w:qFormat/>
  </w:style>
  <w:style w:type="paragraph" w:styleId="Abstract">
    <w:name w:val="Abstract"/>
    <w:basedOn w:val="Normal"/>
    <w:qFormat/>
    <w:pPr>
      <w:spacing w:line="360" w:lineRule="auto" w:before="0" w:after="120"/>
      <w:ind w:firstLineChars="200"/>
      <w:jc w:val="both"/>
    </w:pPr>
    <w:rPr>
      <w:rFonts w:eastAsia="宋体" w:ascii="Times New Roman" w:hAnsi="Times New Roman"/>
      <w:b w:val="0"/>
      <w:i w:val="0"/>
      <w:color w:val="000000"/>
      <w:sz w:val="24"/>
    </w:rPr>
  </w:style>
  <w:style w:type="paragraph" w:styleId="Keywords">
    <w:name w:val="Keywords"/>
    <w:basedOn w:val="Normal"/>
    <w:qFormat/>
    <w:pPr>
      <w:spacing w:line="360" w:lineRule="auto" w:before="0" w:after="240"/>
      <w:ind w:firstLineChars="0"/>
      <w:jc w:val="both"/>
    </w:pPr>
    <w:rPr>
      <w:rFonts w:eastAsia="宋体" w:ascii="Times New Roman" w:hAnsi="Times New Roman"/>
      <w:b w:val="0"/>
      <w:i w:val="0"/>
      <w:color w:val="000000"/>
      <w:sz w:val="24"/>
    </w:rPr>
  </w:style>
  <w:style w:type="paragraph" w:styleId="FirstParagraph">
    <w:name w:val="First Paragraph"/>
    <w:basedOn w:val="BodyText"/>
    <w:qFormat/>
    <w:pPr>
      <w:spacing w:line="360" w:lineRule="auto" w:before="0" w:after="0"/>
      <w:ind w:firstLineChars="200"/>
      <w:jc w:val="both"/>
    </w:pPr>
    <w:rPr>
      <w:rFonts w:eastAsia="宋体" w:ascii="Times New Roman" w:hAnsi="Times New Roman"/>
      <w:b w:val="0"/>
      <w:i w:val="0"/>
      <w:color w:val="000000"/>
      <w:sz w:val="24"/>
    </w:rPr>
  </w:style>
  <w:style w:type="paragraph" w:styleId="Compact">
    <w:name w:val="Compact"/>
    <w:basedOn w:val="Normal"/>
    <w:qFormat/>
    <w:pPr>
      <w:spacing w:line="240" w:lineRule="auto" w:before="0" w:after="0"/>
      <w:ind w:firstLineChars="0"/>
      <w:jc w:val="center"/>
    </w:pPr>
    <w:rPr>
      <w:rFonts w:eastAsia="宋体" w:ascii="Times New Roman" w:hAnsi="Times New Roman"/>
      <w:b w:val="0"/>
      <w:i w:val="0"/>
      <w:color w:val="000000"/>
      <w:sz w:val="21"/>
    </w:rPr>
  </w:style>
  <w:style w:type="paragraph" w:styleId="ListParagraph">
    <w:name w:val="List Paragraph"/>
    <w:basedOn w:val="Normal"/>
    <w:qFormat/>
  </w:style>
  <w:style w:type="paragraph" w:styleId="BlockText">
    <w:name w:val="Block Text"/>
    <w:basedOn w:val="Normal"/>
    <w:qFormat/>
  </w:style>
  <w:style w:type="paragraph" w:styleId="TOCHeading">
    <w:name w:val="TOC Heading"/>
    <w:basedOn w:val="Normal"/>
    <w:qFormat/>
    <w:pPr>
      <w:keepNext/>
      <w:spacing w:line="360" w:lineRule="auto" w:before="240" w:after="240"/>
      <w:ind w:firstLineChars="0"/>
      <w:jc w:val="center"/>
    </w:pPr>
    <w:rPr>
      <w:rFonts w:eastAsia="黑体" w:ascii="Times New Roman" w:hAnsi="Times New Roman"/>
      <w:b/>
      <w:i w:val="0"/>
      <w:color w:val="000000"/>
      <w:sz w:val="32"/>
    </w:rPr>
  </w:style>
  <w:style w:type="paragraph" w:styleId="Caption">
    <w:name w:val="caption"/>
    <w:basedOn w:val="Normal"/>
    <w:qFormat/>
    <w:rPr>
      <w:i w:val="0"/>
    </w:rPr>
  </w:style>
  <w:style w:type="paragraph" w:styleId="TableCaption">
    <w:name w:val="Table Caption"/>
    <w:basedOn w:val="Normal"/>
    <w:qFormat/>
    <w:pPr>
      <w:keepNext/>
      <w:spacing w:line="360" w:lineRule="auto" w:before="120" w:after="120"/>
      <w:ind w:firstLineChars="0"/>
      <w:jc w:val="center"/>
    </w:pPr>
    <w:rPr>
      <w:rFonts w:eastAsia="宋体" w:ascii="Times New Roman" w:hAnsi="Times New Roman"/>
      <w:b/>
      <w:i w:val="0"/>
      <w:color w:val="000000"/>
      <w:sz w:val="21"/>
    </w:rPr>
  </w:style>
  <w:style w:type="paragraph" w:styleId="ImageCaption">
    <w:name w:val="Image Caption"/>
    <w:basedOn w:val="Normal"/>
    <w:qFormat/>
    <w:pPr>
      <w:spacing w:line="360" w:lineRule="auto" w:before="120" w:after="120"/>
      <w:ind w:firstLineChars="0"/>
      <w:jc w:val="center"/>
    </w:pPr>
    <w:rPr>
      <w:rFonts w:eastAsia="宋体" w:ascii="Times New Roman" w:hAnsi="Times New Roman"/>
      <w:b/>
      <w:i w:val="0"/>
      <w:color w:val="000000"/>
      <w:sz w:val="21"/>
    </w:rPr>
  </w:style>
  <w:style w:type="paragraph" w:styleId="Figure">
    <w:name w:val="Figure"/>
    <w:basedOn w:val="Normal"/>
    <w:qFormat/>
    <w:pPr>
      <w:jc w:val="center"/>
    </w:pPr>
  </w:style>
  <w:style w:type="paragraph" w:styleId="CaptionedFigure">
    <w:name w:val="Captioned Figure"/>
    <w:basedOn w:val="Normal"/>
    <w:qFormat/>
    <w:pPr>
      <w:keepNext/>
      <w:spacing w:line="240" w:lineRule="auto" w:before="120" w:after="0"/>
      <w:ind w:firstLineChars="0"/>
      <w:jc w:val="center"/>
    </w:pPr>
    <w:rPr>
      <w:rFonts w:eastAsia="宋体" w:ascii="Times New Roman" w:hAnsi="Times New Roman"/>
      <w:b w:val="0"/>
      <w:i w:val="0"/>
      <w:color w:val="000000"/>
      <w:sz w:val="21"/>
    </w:rPr>
  </w:style>
  <w:style w:type="paragraph" w:styleId="TableNote">
    <w:name w:val="Table Note"/>
    <w:basedOn w:val="Normal"/>
    <w:qFormat/>
    <w:pPr>
      <w:spacing w:line="240" w:lineRule="auto" w:before="0" w:after="120"/>
      <w:ind w:firstLineChars="0"/>
      <w:jc w:val="center"/>
    </w:pPr>
    <w:rPr>
      <w:rFonts w:eastAsia="宋体" w:ascii="Times New Roman" w:hAnsi="Times New Roman"/>
      <w:b w:val="0"/>
      <w:i w:val="0"/>
      <w:color w:val="000000"/>
      <w:sz w:val="18"/>
    </w:rPr>
  </w:style>
  <w:style w:type="paragraph" w:styleId="Bibliography">
    <w:name w:val="Bibliography"/>
    <w:basedOn w:val="Normal"/>
    <w:qFormat/>
    <w:pPr>
      <w:spacing w:line="300" w:lineRule="auto" w:before="0" w:after="60"/>
      <w:ind w:hanging="720" w:left="720" w:firstLineChars="0"/>
      <w:jc w:val="both"/>
    </w:pPr>
    <w:rPr>
      <w:rFonts w:eastAsia="宋体" w:ascii="Times New Roman" w:hAnsi="Times New Roman"/>
      <w:b w:val="0"/>
      <w:i w:val="0"/>
      <w:color w:val="000000"/>
      <w:sz w:val="21"/>
    </w:rPr>
  </w:style>
  <w:style w:type="paragraph" w:styleId="FootnoteText">
    <w:name w:val="Footnote Text"/>
    <w:basedOn w:val="Normal"/>
    <w:qFormat/>
    <w:pPr>
      <w:spacing w:line="240" w:lineRule="auto" w:before="0" w:after="0"/>
      <w:ind w:firstLineChars="0"/>
      <w:jc w:val="both"/>
    </w:pPr>
    <w:rPr>
      <w:rFonts w:eastAsia="宋体" w:ascii="Times New Roman" w:hAnsi="Times New Roman"/>
      <w:b w:val="0"/>
      <w:i w:val="0"/>
      <w:color w:val="000000"/>
      <w:sz w:val="21"/>
    </w:rPr>
  </w:style>
  <w:style w:type="paragraph" w:styleId="FootnoteBlockText">
    <w:name w:val="Footnote Block Text"/>
    <w:basedOn w:val="FootnoteText"/>
    <w:qFormat/>
  </w:style>
  <w:style w:type="paragraph" w:styleId="DefinitionTerm">
    <w:name w:val="Definition Term"/>
    <w:basedOn w:val="Normal"/>
    <w:qFormat/>
  </w:style>
  <w:style w:type="paragraph" w:styleId="Definition">
    <w:name w:val="Definition"/>
    <w:basedOn w:val="Normal"/>
    <w:qFormat/>
  </w:style>
  <w:style w:type="paragraph" w:styleId="SourceCode">
    <w:name w:val="Source Code"/>
    <w:basedOn w:val="Normal"/>
    <w:qFormat/>
    <w:pPr>
      <w:spacing w:before="0" w:after="0" w:line="240" w:lineRule="auto"/>
      <w:ind w:firstLineChars="0" w:firstLine="0" w:left="0" w:right="0"/>
      <w:jc w:val="left"/>
    </w:pPr>
    <w:rPr>
      <w:rFonts w:ascii="Consolas" w:hAnsi="Consolas" w:eastAsia="宋体" w:cs="Consolas"/>
    </w:rPr>
  </w:style>
  <w:style w:type="character" w:styleId="VerbatimChar">
    <w:name w:val="Verbatim Char"/>
    <w:basedOn w:val="DefaultParagraphFont"/>
    <w:qFormat/>
    <w:rPr>
      <w:rFonts w:ascii="Consolas" w:hAnsi="Consolas" w:eastAsia="宋体" w:cs="Consolas"/>
    </w:rPr>
  </w:style>
  <w:style w:type="character" w:styleId="SectionNumber">
    <w:name w:val="Section Number"/>
    <w:basedOn w:val="DefaultParagraphFont"/>
    <w:qFormat/>
  </w:style>
  <w:style w:type="character" w:styleId="FootnoteReference">
    <w:name w:val="Footnote Reference"/>
    <w:basedOn w:val="DefaultParagraphFont"/>
    <w:qFormat/>
    <w:rPr>
      <w:vertAlign w:val="superscript"/>
    </w:rPr>
  </w:style>
  <w:style w:type="character" w:styleId="Strong">
    <w:name w:val="Strong"/>
    <w:basedOn w:val="DefaultParagraphFont"/>
    <w:qFormat/>
    <w:rPr>
      <w:b/>
      <w:bCs/>
      <w:color w:val="000000"/>
    </w:rPr>
  </w:style>
  <w:style w:type="character" w:styleId="Emphasis">
    <w:name w:val="Emphasis"/>
    <w:basedOn w:val="DefaultParagraphFont"/>
    <w:qFormat/>
    <w:rPr>
      <w:i/>
      <w:iCs/>
      <w:color w:val="000000"/>
    </w:rPr>
  </w:style>
  <w:style w:type="character" w:styleId="Hyperlink">
    <w:name w:val="Hyperlink"/>
    <w:basedOn w:val="DefaultParagraphFont"/>
    <w:qFormat/>
    <w:rPr>
      <w:color w:val="000000"/>
      <w:u w:val="none"/>
    </w:rPr>
  </w:style>
  <w:style w:type="paragraph" w:customStyle="1" w:styleId="AbstractTitle">
    <w:name w:val="Abstract Title"/>
    <w:basedOn w:val="Normal"/>
    <w:pPr>
      <w:spacing w:line="360" w:lineRule="auto" w:before="120" w:after="120"/>
      <w:ind w:firstLineChars="0"/>
      <w:jc w:val="center"/>
    </w:pPr>
    <w:rPr>
      <w:rFonts w:eastAsia="黑体" w:ascii="Times New Roman" w:hAnsi="Times New Roman"/>
      <w:b/>
      <w:i w:val="0"/>
      <w:color w:val="000000"/>
      <w:sz w:val="28"/>
    </w:rPr>
  </w:style>
  <w:style w:type="paragraph" w:customStyle="1" w:styleId="ReferencesTitle">
    <w:name w:val="References Title"/>
    <w:basedOn w:val="Normal"/>
    <w:pPr>
      <w:keepNext/>
      <w:spacing w:line="360" w:lineRule="auto" w:before="360" w:after="240"/>
      <w:ind w:firstLineChars="0"/>
      <w:jc w:val="center"/>
    </w:pPr>
    <w:rPr>
      <w:rFonts w:eastAsia="黑体" w:ascii="Times New Roman" w:hAnsi="Times New Roman"/>
      <w:b/>
      <w:i w:val="0"/>
      <w:color w:val="000000"/>
      <w:sz w:val="32"/>
    </w:rPr>
  </w:style>
  <w:style w:type="paragraph" w:styleId="TOC1">
    <w:name w:val="toc 1"/>
    <w:basedOn w:val="Normal"/>
    <w:pPr>
      <w:tabs>
        <w:tab w:val="right" w:leader="dot" w:pos="9026"/>
      </w:tabs>
      <w:spacing w:line="360" w:lineRule="auto" w:before="0" w:after="0"/>
      <w:ind w:leftChars="0" w:firstLineChars="0"/>
      <w:jc w:val="left"/>
    </w:pPr>
    <w:rPr>
      <w:rFonts w:eastAsia="黑体" w:ascii="Times New Roman" w:hAnsi="Times New Roman"/>
      <w:b/>
      <w:i w:val="0"/>
      <w:color w:val="000000"/>
      <w:sz w:val="24"/>
    </w:rPr>
  </w:style>
  <w:style w:type="paragraph" w:styleId="TOC2">
    <w:name w:val="toc 2"/>
    <w:basedOn w:val="Normal"/>
    <w:pPr>
      <w:tabs>
        <w:tab w:val="right" w:leader="dot" w:pos="9026"/>
      </w:tabs>
      <w:spacing w:line="360" w:lineRule="auto" w:before="0" w:after="0"/>
      <w:ind w:leftChars="100" w:firstLineChars="0"/>
      <w:jc w:val="left"/>
    </w:pPr>
    <w:rPr>
      <w:rFonts w:eastAsia="宋体" w:ascii="Times New Roman" w:hAnsi="Times New Roman"/>
      <w:b w:val="0"/>
      <w:i w:val="0"/>
      <w:color w:val="000000"/>
      <w:sz w:val="24"/>
    </w:rPr>
  </w:style>
  <w:style w:type="paragraph" w:styleId="TOC3">
    <w:name w:val="toc 3"/>
    <w:basedOn w:val="Normal"/>
    <w:pPr>
      <w:tabs>
        <w:tab w:val="right" w:leader="dot" w:pos="9026"/>
      </w:tabs>
      <w:spacing w:line="360" w:lineRule="auto" w:before="0" w:after="0"/>
      <w:ind w:leftChars="200" w:firstLineChars="0"/>
      <w:jc w:val="left"/>
    </w:pPr>
    <w:rPr>
      <w:rFonts w:eastAsia="宋体" w:ascii="Times New Roman" w:hAnsi="Times New Roman"/>
      <w:b w:val="0"/>
      <w:i w:val="0"/>
      <w:color w:val="000000"/>
      <w:sz w:val="24"/>
    </w:rPr>
  </w:style>
</w:styles>
</file>

<file path=word/webSettings.xml><?xml version="1.0" encoding="utf-8"?>
<w:webSettings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Hans" typeface="黑体"/>
      </a:majorFont>
      <a:minorFont>
        <a:latin typeface="Times New Roman"/>
        <a:ea typeface=""/>
        <a:cs typeface=""/>
        <a:font script="Hans" typeface="宋体"/>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cp:coreProperties>
</file>