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基于多模态感知与深度强化学习的机器人灵巧操作研究</w:t>
      </w:r>
    </w:p>
    <w:p>
      <w:pPr>
        <w:pStyle w:val="AbstractTitle"/>
      </w:pPr>
      <w:r>
        <w:rPr>
          <w:rFonts w:hint="eastAsia"/>
        </w:rPr>
        <w:t xml:space="preserve">摘要</w:t>
      </w:r>
    </w:p>
    <w:p>
      <w:pPr>
        <w:pStyle w:val="Abstract"/>
      </w:pPr>
      <w:r>
        <w:rPr>
          <w:rFonts w:hint="eastAsia"/>
        </w:rPr>
        <w:t xml:space="preserve">针对非结构化复杂动态环境下移动操作机器人灵巧作业面临的不确定性感知与精确闭环控制难题，本文提出了一种基于多模态感官表征融合与深度确定性强化学习的新型自主控制框架。通过融合双目立体视觉特征、高分辨触觉时序流与六维力矩传感器反馈，构建统一的高维隐空间动力学演化模型，并设计了自适应动作空间约束策略。真机抓取与插拔实验表明，所提方法在复杂交互场景下的操作成功率达到</w:t>
      </w:r>
      <w:r>
        <w:t xml:space="preserve"> </w:t>
      </w:r>
      <w:r>
        <w:rPr>
          <w:rFonts w:hint="eastAsia"/>
        </w:rPr>
        <w:t xml:space="preserve">96.872%，动态定位跟踪误差小于</w:t>
      </w:r>
      <w:r>
        <w:t xml:space="preserve"> 0.815 </w:t>
      </w:r>
      <w:r>
        <w:rPr>
          <w:rFonts w:hint="eastAsia"/>
        </w:rPr>
        <w:t xml:space="preserve">mm，显著优于传统示教与开环轨迹规划算法，为下一代通用具身智能体的工业级部署提供了坚实的理论支撑与技术范式。</w:t>
      </w:r>
    </w:p>
    <w:p>
      <w:pPr>
        <w:pStyle w:val="Keywords"/>
      </w:pPr>
      <w:r>
        <w:rPr>
          <w:rFonts w:hint="eastAsia"/>
        </w:rPr>
        <w:t xml:space="preserve">具身智能；强化学习；多模态融合；闭环控制；移动机器人；三维感知</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1" w:name="第一章-绪论"/>
    <w:p>
      <w:pPr>
        <w:pStyle w:val="Heading1"/>
      </w:pPr>
      <w:r>
        <w:rPr>
          <w:rFonts w:hint="eastAsia"/>
        </w:rPr>
        <w:t xml:space="preserve">第一章</w:t>
      </w:r>
      <w:r>
        <w:t xml:space="preserve"> </w:t>
      </w:r>
      <w:r>
        <w:rPr>
          <w:rFonts w:hint="eastAsia"/>
        </w:rPr>
        <w:t xml:space="preserve">绪论</w:t>
      </w:r>
    </w:p>
    <w:p>
      <w:pPr>
        <w:pStyle w:val="FirstParagraph"/>
      </w:pPr>
      <w:r>
        <w:rPr>
          <w:rFonts w:hint="eastAsia"/>
        </w:rPr>
        <w:t xml:space="preserve">近年来，随着具身人工智能（Embodied</w:t>
      </w:r>
      <w:r>
        <w:t xml:space="preserve"> </w:t>
      </w:r>
      <w:r>
        <w:rPr>
          <w:rFonts w:hint="eastAsia"/>
        </w:rPr>
        <w:t xml:space="preserve">AI）与工业自动化技术的快速发展，具有自主感知与自适应作业能力的智能机器人正成为高端制造领域的核心支柱。在经典连续决策控制领域，自深度</w:t>
      </w:r>
      <w:r>
        <w:t xml:space="preserve"> Q </w:t>
      </w:r>
      <w:r>
        <w:rPr>
          <w:rFonts w:hint="eastAsia"/>
        </w:rPr>
        <w:t xml:space="preserve">网络与策略梯度方法取得突破以来</w:t>
      </w:r>
      <w:r>
        <w:rPr>
          <w:vertAlign w:val="superscript"/>
        </w:rPr>
        <w:t xml:space="preserve">[1]</w:t>
      </w:r>
      <w:r>
        <w:rPr>
          <w:rFonts w:hint="eastAsia"/>
        </w:rPr>
        <w:t xml:space="preserve">，基于深度强化学习的自主控制系统展现出了强大的高维空间表征与非线性动作拟合能力</w:t>
      </w:r>
      <w:r>
        <w:rPr>
          <w:vertAlign w:val="superscript"/>
        </w:rPr>
        <w:t xml:space="preserve">[2]</w:t>
      </w:r>
      <w:r>
        <w:t xml:space="preserve">。</w:t>
      </w:r>
    </w:p>
    <w:p>
      <w:pPr>
        <w:pStyle w:val="BodyText"/>
      </w:pPr>
      <w:r>
        <w:rPr>
          <w:rFonts w:hint="eastAsia"/>
        </w:rPr>
        <w:t xml:space="preserve">在工业装配与精密零件组装任务中，机器人末端执行器的接触力分布以及表面微滑移状态对抓取稳定性起着决定性作用</w:t>
      </w:r>
      <w:r>
        <w:rPr>
          <w:rStyle w:val="FootnoteReference"/>
        </w:rPr>
        <w:footnoteReference w:id="17"/>
      </w:r>
      <w:r>
        <w:rPr>
          <w:rFonts w:hint="eastAsia"/>
        </w:rPr>
        <w:t xml:space="preserve">。本文重点研究多模态信号的紧耦合融合表征机制，旨在实现亚毫米级的精确位姿调控与动态力反馈适应。多模态闭环控制流程如图</w:t>
      </w:r>
      <w:r>
        <w:t xml:space="preserve"> 1 </w:t>
      </w:r>
      <w:r>
        <w:rPr>
          <w:rFonts w:hint="eastAsia"/>
        </w:rPr>
        <w:t xml:space="preserve">所示。</w:t>
      </w:r>
    </w:p>
    <w:p>
      <w:pPr>
        <w:pStyle w:val="CaptionedFigure"/>
      </w:pPr>
      <w:r>
        <w:drawing>
          <wp:inline>
            <wp:extent cx="4679999" cy="1624999"/>
            <wp:effectExtent b="0" l="0" r="0" t="0"/>
            <wp:docPr descr="图 1 多模态闭环控制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1624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多模态闭环控制系统总体架构流程</w:t>
      </w:r>
    </w:p>
    <w:p>
      <w:pPr>
        <w:pStyle w:val="BodyText"/>
      </w:pPr>
      <w:r>
        <w:rPr>
          <w:rFonts w:hint="eastAsia"/>
        </w:rPr>
        <w:t xml:space="preserve">正文排版严格遵循中文核心期刊与研究生学位论文排版契约，支持包括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Start w:id="24" w:name="第二章-系统建模与理论方法"/>
    <w:p>
      <w:pPr>
        <w:pStyle w:val="Heading1"/>
      </w:pPr>
      <w:r>
        <w:rPr>
          <w:rFonts w:hint="eastAsia"/>
        </w:rPr>
        <w:t xml:space="preserve">第二章</w:t>
      </w:r>
      <w:r>
        <w:t xml:space="preserve"> </w:t>
      </w:r>
      <w:r>
        <w:rPr>
          <w:rFonts w:hint="eastAsia"/>
        </w:rPr>
        <w:t xml:space="preserve">系统建模与理论方法</w:t>
      </w:r>
    </w:p>
    <w:p>
      <w:pPr>
        <w:pStyle w:val="FirstParagraph"/>
      </w:pPr>
      <w:r>
        <w:rPr>
          <w:rFonts w:hint="eastAsia"/>
        </w:rPr>
        <w:t xml:space="preserve">本节建立多模态闭环控制系统的数学动力学演化模型。设机器人在连续时间域内的广义位姿坐标为</w:t>
      </w:r>
      <w:r>
        <w:t xml:space="preserve"> </w:t>
      </w:r>
      <m:oMath>
        <m:sSub>
          <m:e>
            <m:r>
              <m:rPr>
                <m:sty m:val="bi"/>
              </m:rPr>
              <m:t>q</m:t>
            </m:r>
          </m:e>
          <m:sub>
            <m:r>
              <m:t>t</m:t>
            </m:r>
          </m:sub>
        </m:sSub>
      </m:oMath>
      <w:r>
        <w:rPr>
          <w:rFonts w:hint="eastAsia"/>
        </w:rPr>
        <w:t xml:space="preserve">，外部接触力矩为</w:t>
      </w:r>
      <w:r>
        <w:t xml:space="preserve"> </w:t>
      </w:r>
      <m:oMath>
        <m:sSub>
          <m:e>
            <m:r>
              <m:rPr>
                <m:sty m:val="bi"/>
              </m:rPr>
              <m:t>τ</m:t>
            </m:r>
          </m:e>
          <m:sub>
            <m:r>
              <m:t>t</m:t>
            </m:r>
          </m:sub>
        </m:sSub>
      </m:oMath>
      <w:r>
        <w:rPr>
          <w:rFonts w:hint="eastAsia"/>
        </w:rPr>
        <w:t xml:space="preserve">，环境感官观测集定义为</w:t>
      </w:r>
      <w:r>
        <w:t xml:space="preserve"> </w:t>
      </w:r>
      <m:oMath>
        <m:sSub>
          <m:e>
            <m:r>
              <m:rPr>
                <m:scr m:val="script"/>
                <m:sty m:val="p"/>
              </m:rPr>
              <m:t>O</m:t>
            </m:r>
          </m:e>
          <m:sub>
            <m:r>
              <m:t>t</m:t>
            </m:r>
          </m:sub>
        </m:sSub>
        <m:r>
          <m:rPr>
            <m:sty m:val="p"/>
          </m:rPr>
          <m:t>=</m:t>
        </m:r>
        <m:r>
          <m:rPr>
            <m:sty m:val="p"/>
          </m:rPr>
          <m:t>{</m:t>
        </m:r>
        <m:sSub>
          <m:e>
            <m:r>
              <m:t>I</m:t>
            </m:r>
          </m:e>
          <m:sub>
            <m:r>
              <m:t>t</m:t>
            </m:r>
          </m:sub>
        </m:sSub>
        <m:r>
          <m:rPr>
            <m:sty m:val="p"/>
          </m:rPr>
          <m:t>,</m:t>
        </m:r>
        <m:sSub>
          <m:e>
            <m:r>
              <m:t>F</m:t>
            </m:r>
          </m:e>
          <m:sub>
            <m:r>
              <m:t>t</m:t>
            </m:r>
          </m:sub>
        </m:sSub>
        <m:r>
          <m:rPr>
            <m:sty m:val="p"/>
          </m:rPr>
          <m:t>,</m:t>
        </m:r>
        <m:sSub>
          <m:e>
            <m:r>
              <m:t>T</m:t>
            </m:r>
          </m:e>
          <m:sub>
            <m:r>
              <m:t>t</m:t>
            </m:r>
          </m:sub>
        </m:sSub>
        <m:r>
          <m:rPr>
            <m:sty m:val="p"/>
          </m:rPr>
          <m:t>}</m:t>
        </m:r>
      </m:oMath>
      <w:r>
        <w:rPr>
          <w:rFonts w:hint="eastAsia"/>
        </w:rPr>
        <w:t xml:space="preserve">，其中</w:t>
      </w:r>
      <w:r>
        <w:t xml:space="preserve"> </w:t>
      </w:r>
      <m:oMath>
        <m:sSub>
          <m:e>
            <m:r>
              <m:t>I</m:t>
            </m:r>
          </m:e>
          <m:sub>
            <m:r>
              <m:t>t</m:t>
            </m:r>
          </m:sub>
        </m:sSub>
      </m:oMath>
      <w:r>
        <w:t xml:space="preserve"> </w:t>
      </w:r>
      <w:r>
        <w:rPr>
          <w:rFonts w:hint="eastAsia"/>
        </w:rPr>
        <w:t xml:space="preserve">表示视觉帧，</w:t>
      </w:r>
      <m:oMath>
        <m:sSub>
          <m:e>
            <m:r>
              <m:t>F</m:t>
            </m:r>
          </m:e>
          <m:sub>
            <m:r>
              <m:t>t</m:t>
            </m:r>
          </m:sub>
        </m:sSub>
      </m:oMath>
      <w:r>
        <w:t xml:space="preserve"> </w:t>
      </w:r>
      <w:r>
        <w:rPr>
          <w:rFonts w:hint="eastAsia"/>
        </w:rPr>
        <w:t xml:space="preserve">表示力矩向量，</w:t>
      </w:r>
      <m:oMath>
        <m:sSub>
          <m:e>
            <m:r>
              <m:t>T</m:t>
            </m:r>
          </m:e>
          <m:sub>
            <m:r>
              <m:t>t</m:t>
            </m:r>
          </m:sub>
        </m:sSub>
      </m:oMath>
      <w:r>
        <w:t xml:space="preserve"> </w:t>
      </w:r>
      <w:r>
        <w:rPr>
          <w:rFonts w:hint="eastAsia"/>
        </w:rPr>
        <w:t xml:space="preserve">表示高维触觉压阻阵列。</w:t>
      </w:r>
    </w:p>
    <w:p>
      <w:pPr>
        <w:pStyle w:val="BodyText"/>
      </w:pPr>
      <w:r>
        <w:rPr>
          <w:rFonts w:hint="eastAsia"/>
        </w:rPr>
        <w:t xml:space="preserve">在深度强化学习框架下，机器人的状态转移分布函数可由非线性微分映射表征，其状态更新方程如</w:t>
      </w:r>
      <w:r>
        <w:t xml:space="preserve"> </w:t>
      </w:r>
      <w:hyperlink w:anchor="eq-dynamics">
        <w:r>
          <w:rPr>
            <w:rStyle w:val="Hyperlink"/>
            <w:rFonts w:hint="eastAsia"/>
          </w:rPr>
          <w:t xml:space="preserve">式</w:t>
        </w:r>
        <w:r>
          <w:rPr>
            <w:rStyle w:val="Hyperlink"/>
          </w:rPr>
          <w:t xml:space="preserve"> 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S</m:t>
                    </m:r>
                  </m:e>
                  <m:sub>
                    <m:r>
                      <m:t>t</m:t>
                    </m:r>
                    <m:r>
                      <m:rPr>
                        <m:sty m:val="p"/>
                      </m:rPr>
                      <m:t>+</m:t>
                    </m:r>
                    <m:r>
                      <m:t>1</m:t>
                    </m:r>
                  </m:sub>
                </m:sSub>
                <m:r>
                  <m:rPr>
                    <m:sty m:val="p"/>
                  </m:rPr>
                  <m:t>=</m:t>
                </m:r>
                <m:r>
                  <m:rPr>
                    <m:scr m:val="script"/>
                    <m:sty m:val="p"/>
                  </m:rPr>
                  <m:t>F</m:t>
                </m:r>
                <m:r>
                  <m:rPr>
                    <m:sty m:val="p"/>
                  </m:rPr>
                  <m:t>(</m:t>
                </m:r>
                <m:sSub>
                  <m:e>
                    <m:r>
                      <m:t>S</m:t>
                    </m:r>
                  </m:e>
                  <m:sub>
                    <m:r>
                      <m:t>t</m:t>
                    </m:r>
                  </m:sub>
                </m:sSub>
                <m:r>
                  <m:rPr>
                    <m:sty m:val="p"/>
                  </m:rPr>
                  <m:t>,</m:t>
                </m:r>
                <m:sSub>
                  <m:e>
                    <m:r>
                      <m:t>A</m:t>
                    </m:r>
                  </m:e>
                  <m:sub>
                    <m:r>
                      <m:t>t</m:t>
                    </m:r>
                  </m:sub>
                </m:sSub>
                <m:r>
                  <m:rPr>
                    <m:sty m:val="p"/>
                  </m:rPr>
                  <m:t>;</m:t>
                </m:r>
                <m:r>
                  <m:rPr>
                    <m:sty m:val="bi"/>
                  </m:rPr>
                  <m:t>θ</m:t>
                </m:r>
                <m:r>
                  <m:rPr>
                    <m:sty m:val="p"/>
                  </m:rPr>
                  <m:t>)</m:t>
                </m:r>
                <m:r>
                  <m:rPr>
                    <m:sty m:val="p"/>
                  </m:rPr>
                  <m:t>+</m:t>
                </m:r>
                <m:sSub>
                  <m:e>
                    <m:r>
                      <m:rPr>
                        <m:sty m:val="bi"/>
                      </m:rPr>
                      <m:t>ϵ</m:t>
                    </m:r>
                  </m:e>
                  <m:sub>
                    <m:r>
                      <m:t>t</m:t>
                    </m:r>
                  </m:sub>
                </m:sSub>
                <m:r>
                  <m:t>  </m:t>
                </m:r>
              </m:oMath>
            </m:oMathPara>
            <w:bookmarkStart w:id="22" w:name="eq-dynamics"/>
            <w:bookmarkEnd w:id="22"/>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r>
          <m:rPr>
            <m:sty m:val="bi"/>
          </m:rPr>
          <m:t>θ</m:t>
        </m:r>
      </m:oMath>
      <w:r>
        <w:t xml:space="preserve"> </w:t>
      </w:r>
      <w:r>
        <w:rPr>
          <w:rFonts w:hint="eastAsia"/>
        </w:rPr>
        <w:t xml:space="preserve">为策略网络的参数张量，</w:t>
      </w:r>
      <m:oMath>
        <m:sSub>
          <m:e>
            <m:r>
              <m:rPr>
                <m:sty m:val="bi"/>
              </m:rPr>
              <m:t>ϵ</m:t>
            </m:r>
          </m:e>
          <m:sub>
            <m:r>
              <m:t>t</m:t>
            </m:r>
          </m:sub>
        </m:sSub>
      </m:oMath>
      <w:r>
        <w:t xml:space="preserve"> </w:t>
      </w:r>
      <w:r>
        <w:rPr>
          <w:rFonts w:hint="eastAsia"/>
        </w:rPr>
        <w:t xml:space="preserve">服从零均值高斯白噪声扰动分布。为实现高精度轨迹平滑约束，我们定义动作价值函数的最优</w:t>
      </w:r>
      <w:r>
        <w:t xml:space="preserve"> Bellman </w:t>
      </w:r>
      <w:r>
        <w:rPr>
          <w:rFonts w:hint="eastAsia"/>
        </w:rPr>
        <w:t xml:space="preserve">递归算子：</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Q</m:t>
                    </m:r>
                  </m:e>
                  <m:sup>
                    <m:r>
                      <m:rPr>
                        <m:sty m:val="p"/>
                      </m:rPr>
                      <m:t>*</m:t>
                    </m:r>
                  </m:sup>
                </m:sSup>
                <m:r>
                  <m:rPr>
                    <m:sty m:val="p"/>
                  </m:rPr>
                  <m:t>(</m:t>
                </m:r>
                <m:sSub>
                  <m:e>
                    <m:r>
                      <m:t>S</m:t>
                    </m:r>
                  </m:e>
                  <m:sub>
                    <m:r>
                      <m:t>t</m:t>
                    </m:r>
                  </m:sub>
                </m:sSub>
                <m:r>
                  <m:rPr>
                    <m:sty m:val="p"/>
                  </m:rPr>
                  <m:t>,</m:t>
                </m:r>
                <m:sSub>
                  <m:e>
                    <m:r>
                      <m:t>A</m:t>
                    </m:r>
                  </m:e>
                  <m:sub>
                    <m:r>
                      <m:t>t</m:t>
                    </m:r>
                  </m:sub>
                </m:sSub>
                <m:r>
                  <m:rPr>
                    <m:sty m:val="p"/>
                  </m:rPr>
                  <m:t>)</m:t>
                </m:r>
                <m:r>
                  <m:rPr>
                    <m:sty m:val="p"/>
                  </m:rPr>
                  <m:t>=</m:t>
                </m:r>
                <m:r>
                  <m:rPr>
                    <m:scr m:val="double-struck"/>
                    <m:sty m:val="p"/>
                  </m:rPr>
                  <m:t>E</m:t>
                </m:r>
                <m:d>
                  <m:dPr>
                    <m:begChr m:val="["/>
                    <m:sepChr m:val=""/>
                    <m:endChr m:val="]"/>
                    <m:grow/>
                  </m:dPr>
                  <m:e>
                    <m:r>
                      <m:t>R</m:t>
                    </m:r>
                    <m:r>
                      <m:rPr>
                        <m:sty m:val="p"/>
                      </m:rPr>
                      <m:t>(</m:t>
                    </m:r>
                    <m:sSub>
                      <m:e>
                        <m:r>
                          <m:t>S</m:t>
                        </m:r>
                      </m:e>
                      <m:sub>
                        <m:r>
                          <m:t>t</m:t>
                        </m:r>
                      </m:sub>
                    </m:sSub>
                    <m:r>
                      <m:rPr>
                        <m:sty m:val="p"/>
                      </m:rPr>
                      <m:t>,</m:t>
                    </m:r>
                    <m:sSub>
                      <m:e>
                        <m:r>
                          <m:t>A</m:t>
                        </m:r>
                      </m:e>
                      <m:sub>
                        <m:r>
                          <m:t>t</m:t>
                        </m:r>
                      </m:sub>
                    </m:sSub>
                    <m:r>
                      <m:rPr>
                        <m:sty m:val="p"/>
                      </m:rPr>
                      <m:t>)</m:t>
                    </m:r>
                    <m:r>
                      <m:rPr>
                        <m:sty m:val="p"/>
                      </m:rPr>
                      <m:t>+</m:t>
                    </m:r>
                    <m:r>
                      <m:t>γ</m:t>
                    </m:r>
                    <m:limLow>
                      <m:e>
                        <m:r>
                          <m:rPr>
                            <m:sty m:val="p"/>
                          </m:rPr>
                          <m:t>max</m:t>
                        </m:r>
                      </m:e>
                      <m:lim>
                        <m:sSup>
                          <m:e>
                            <m:r>
                              <m:t>A</m:t>
                            </m:r>
                          </m:e>
                          <m:sup>
                            <m:r>
                              <m:rPr>
                                <m:sty m:val="p"/>
                              </m:rPr>
                              <m:t>′</m:t>
                            </m:r>
                          </m:sup>
                        </m:sSup>
                      </m:lim>
                    </m:limLow>
                    <m:sSup>
                      <m:e>
                        <m:r>
                          <m:t>Q</m:t>
                        </m:r>
                      </m:e>
                      <m:sup>
                        <m:r>
                          <m:rPr>
                            <m:sty m:val="p"/>
                          </m:rPr>
                          <m:t>*</m:t>
                        </m:r>
                      </m:sup>
                    </m:sSup>
                    <m:r>
                      <m:rPr>
                        <m:sty m:val="p"/>
                      </m:rPr>
                      <m:t>(</m:t>
                    </m:r>
                    <m:sSub>
                      <m:e>
                        <m:r>
                          <m:t>S</m:t>
                        </m:r>
                      </m:e>
                      <m:sub>
                        <m:r>
                          <m:t>t</m:t>
                        </m:r>
                        <m:r>
                          <m:rPr>
                            <m:sty m:val="p"/>
                          </m:rPr>
                          <m:t>+</m:t>
                        </m:r>
                        <m:r>
                          <m:t>1</m:t>
                        </m:r>
                      </m:sub>
                    </m:sSub>
                    <m:r>
                      <m:rPr>
                        <m:sty m:val="p"/>
                      </m:rPr>
                      <m:t>,</m:t>
                    </m:r>
                    <m:sSup>
                      <m:e>
                        <m:r>
                          <m:t>A</m:t>
                        </m:r>
                      </m:e>
                      <m:sup>
                        <m:r>
                          <m:rPr>
                            <m:sty m:val="p"/>
                          </m:rPr>
                          <m:t>′</m:t>
                        </m:r>
                      </m:sup>
                    </m:sSup>
                    <m:r>
                      <m:rPr>
                        <m:sty m:val="p"/>
                      </m:rPr>
                      <m:t>)</m:t>
                    </m:r>
                  </m:e>
                </m:d>
                <m:r>
                  <m:t>  </m:t>
                </m:r>
              </m:oMath>
            </m:oMathPara>
            <w:bookmarkStart w:id="23" w:name="eq-bellman"/>
            <w:bookmarkEnd w:id="23"/>
          </w:p>
        </w:tc>
        <w:tc>
          <w:tcPr>
            <w:tcW w:w="800" w:type="pct"/>
            <w:vAlign w:val="center"/>
          </w:tcPr>
          <w:p>
            <w:pPr>
              <w:pStyle w:val="BodyText"/>
              <w:jc w:val="right"/>
              <w:spacing w:before="0" w:after="0"/>
            </w:pPr>
            <w:r>
              <w:t>(2)</w:t>
            </w:r>
          </w:p>
        </w:tc>
      </w:tr>
    </w:tbl>
    <w:p>
      <w:pPr>
        <w:pStyle w:val="FirstParagraph"/>
      </w:pPr>
      <w:r>
        <w:rPr>
          <w:rFonts w:hint="eastAsia"/>
        </w:rPr>
        <w:t xml:space="preserve">通过引入跨模态对比损失，网络能够在低维流形上解耦动力学本质特征，为后续高精度控制奠定理论基础。</w:t>
      </w:r>
    </w:p>
    <w:bookmarkEnd w:id="24"/>
    <w:bookmarkStart w:id="28" w:name="第三章-实验验证与性能对比"/>
    <w:p>
      <w:pPr>
        <w:pStyle w:val="Heading1"/>
      </w:pPr>
      <w:r>
        <w:rPr>
          <w:rFonts w:hint="eastAsia"/>
        </w:rPr>
        <w:t xml:space="preserve">第三章</w:t>
      </w:r>
      <w:r>
        <w:t xml:space="preserve"> </w:t>
      </w:r>
      <w:r>
        <w:rPr>
          <w:rFonts w:hint="eastAsia"/>
        </w:rPr>
        <w:t xml:space="preserve">实验验证与性能对比</w:t>
      </w:r>
    </w:p>
    <w:p>
      <w:pPr>
        <w:pStyle w:val="FirstParagraph"/>
      </w:pPr>
      <w:r>
        <w:rPr>
          <w:rFonts w:hint="eastAsia"/>
        </w:rPr>
        <w:t xml:space="preserve">为评估本文算法在复杂动态环境下的稳定性与泛化性能，我们在仿真环境与七自由度工业机械臂平台上开展了系统的对比验证实验。算法训练收敛曲线如图</w:t>
      </w:r>
      <w:r>
        <w:t xml:space="preserve"> 2 </w:t>
      </w:r>
      <w:r>
        <w:rPr>
          <w:rFonts w:hint="eastAsia"/>
        </w:rPr>
        <w:t xml:space="preserve">所示。</w:t>
      </w:r>
    </w:p>
    <w:p>
      <w:pPr>
        <w:pStyle w:val="CaptionedFigure"/>
      </w:pPr>
      <w:r>
        <w:drawing>
          <wp:inline>
            <wp:extent cx="4499999" cy="2215384"/>
            <wp:effectExtent b="0" l="0" r="0" t="0"/>
            <wp:docPr descr="图 2 强化学习策略训练收敛曲线与鲁棒性对比" title="" id="26" name="Picture"/>
            <a:graphic>
              <a:graphicData uri="http://schemas.openxmlformats.org/drawingml/2006/picture">
                <pic:pic>
                  <pic:nvPicPr>
                    <pic:cNvPr descr="figures/training_loss.png" id="27" name="Picture"/>
                    <pic:cNvPicPr>
                      <a:picLocks noChangeArrowheads="1" noChangeAspect="1"/>
                    </pic:cNvPicPr>
                  </pic:nvPicPr>
                  <pic:blipFill>
                    <a:blip r:embed="rId25"/>
                    <a:stretch>
                      <a:fillRect/>
                    </a:stretch>
                  </pic:blipFill>
                  <pic:spPr bwMode="auto">
                    <a:xfrm>
                      <a:off x="0" y="0"/>
                      <a:ext cx="4499999" cy="2215384"/>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强化学习策略训练收敛曲线与鲁棒性对比</w:t>
      </w:r>
    </w:p>
    <w:p>
      <w:pPr>
        <w:pStyle w:val="BodyText"/>
      </w:pPr>
      <w:r>
        <w:rPr>
          <w:rFonts w:hint="eastAsia"/>
        </w:rPr>
        <w:t xml:space="preserve">在</w:t>
      </w:r>
      <w:r>
        <w:t xml:space="preserve"> 500 </w:t>
      </w:r>
      <w:r>
        <w:rPr>
          <w:rFonts w:hint="eastAsia"/>
        </w:rPr>
        <w:t xml:space="preserve">次物理环境抓取与连续插拔测试中，对比各基准算法的各项核心量化指标如表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不同控制算法在基准任务上的性能指标对比</w:t>
      </w:r>
    </w:p>
    <w:tbl>
      <w:tblPr>
        <w:tblStyle w:val="Table"/>
        <w:tblW w:type="pct" w:w="5000"/>
        <w:tblLayout w:type="fixed"/>
        <w:tblLook w:firstRow="1" w:lastRow="0" w:firstColumn="0" w:lastColumn="0" w:noHBand="0" w:noVBand="0" w:val="0020"/>
      </w:tblPr>
      <w:tblGrid>
        <w:gridCol w:w="2501"/>
        <w:gridCol w:w="1250"/>
        <w:gridCol w:w="1528"/>
        <w:gridCol w:w="1528"/>
        <w:gridCol w:w="1111"/>
      </w:tblGrid>
      <w:tr>
        <w:trPr>
          <w:tblHeader w:val="on"/>
        </w:trPr>
        <w:tc>
          <w:tcPr/>
          <w:p>
            <w:pPr>
              <w:pStyle w:val="Compact"/>
              <w:jc w:val="left"/>
            </w:pPr>
            <w:r>
              <w:rPr>
                <w:rFonts w:hint="eastAsia"/>
              </w:rPr>
              <w:t xml:space="preserve">控制算法</w:t>
            </w:r>
          </w:p>
        </w:tc>
        <w:tc>
          <w:tcPr/>
          <w:p>
            <w:pPr>
              <w:pStyle w:val="Compact"/>
              <w:jc w:val="center"/>
            </w:pPr>
            <w:r>
              <w:rPr>
                <w:rFonts w:hint="eastAsia"/>
              </w:rPr>
              <w:t xml:space="preserve">抓取成功率</w:t>
            </w:r>
            <w:r>
              <w:t xml:space="preserve"> (%)</w:t>
            </w:r>
          </w:p>
        </w:tc>
        <w:tc>
          <w:tcPr/>
          <w:p>
            <w:pPr>
              <w:pStyle w:val="Compact"/>
              <w:jc w:val="center"/>
            </w:pPr>
            <w:r>
              <w:rPr>
                <w:rFonts w:hint="eastAsia"/>
              </w:rPr>
              <w:t xml:space="preserve">平均定位误差</w:t>
            </w:r>
            <w:r>
              <w:t xml:space="preserve"> (mm)</w:t>
            </w:r>
          </w:p>
        </w:tc>
        <w:tc>
          <w:tcPr/>
          <w:p>
            <w:pPr>
              <w:pStyle w:val="Compact"/>
              <w:jc w:val="center"/>
            </w:pPr>
            <w:r>
              <w:rPr>
                <w:rFonts w:hint="eastAsia"/>
              </w:rPr>
              <w:t xml:space="preserve">单步推理延迟</w:t>
            </w:r>
            <w:r>
              <w:t xml:space="preserve"> (ms)</w:t>
            </w:r>
          </w:p>
        </w:tc>
        <w:tc>
          <w:tcPr/>
          <w:p>
            <w:pPr>
              <w:pStyle w:val="Compact"/>
              <w:jc w:val="center"/>
            </w:pPr>
            <w:r>
              <w:rPr>
                <w:rFonts w:hint="eastAsia"/>
              </w:rPr>
              <w:t xml:space="preserve">能量消耗</w:t>
            </w:r>
            <w:r>
              <w:t xml:space="preserve"> (J)</w:t>
            </w:r>
          </w:p>
        </w:tc>
      </w:tr>
      <w:tr>
        <w:tc>
          <w:tcPr/>
          <w:p>
            <w:pPr>
              <w:pStyle w:val="Compact"/>
              <w:jc w:val="left"/>
            </w:pPr>
            <w:r>
              <w:rPr>
                <w:rFonts w:hint="eastAsia"/>
              </w:rPr>
              <w:t xml:space="preserve">经典</w:t>
            </w:r>
            <w:r>
              <w:t xml:space="preserve"> PID </w:t>
            </w:r>
            <w:r>
              <w:rPr>
                <w:rFonts w:hint="eastAsia"/>
              </w:rPr>
              <w:t xml:space="preserve">控制器</w:t>
            </w:r>
          </w:p>
        </w:tc>
        <w:tc>
          <w:tcPr/>
          <w:p>
            <w:pPr>
              <w:pStyle w:val="Compact"/>
              <w:jc w:val="center"/>
            </w:pPr>
            <w:r>
              <w:t xml:space="preserve">71.425</w:t>
            </w:r>
          </w:p>
        </w:tc>
        <w:tc>
          <w:tcPr/>
          <w:p>
            <w:pPr>
              <w:pStyle w:val="Compact"/>
              <w:jc w:val="center"/>
            </w:pPr>
            <w:r>
              <w:t xml:space="preserve">4.821</w:t>
            </w:r>
          </w:p>
        </w:tc>
        <w:tc>
          <w:tcPr/>
          <w:p>
            <w:pPr>
              <w:pStyle w:val="Compact"/>
              <w:jc w:val="center"/>
            </w:pPr>
            <w:r>
              <w:t xml:space="preserve">5.210</w:t>
            </w:r>
          </w:p>
        </w:tc>
        <w:tc>
          <w:tcPr/>
          <w:p>
            <w:pPr>
              <w:pStyle w:val="Compact"/>
              <w:jc w:val="center"/>
            </w:pPr>
            <w:r>
              <w:t xml:space="preserve">128.450</w:t>
            </w:r>
          </w:p>
        </w:tc>
      </w:tr>
      <w:tr>
        <w:tc>
          <w:tcPr/>
          <w:p>
            <w:pPr>
              <w:pStyle w:val="Compact"/>
              <w:jc w:val="left"/>
            </w:pPr>
            <w:r>
              <w:t xml:space="preserve">PPO </w:t>
            </w:r>
            <w:r>
              <w:rPr>
                <w:rFonts w:hint="eastAsia"/>
              </w:rPr>
              <w:t xml:space="preserve">深度强化学习</w:t>
            </w:r>
          </w:p>
        </w:tc>
        <w:tc>
          <w:tcPr/>
          <w:p>
            <w:pPr>
              <w:pStyle w:val="Compact"/>
              <w:jc w:val="center"/>
            </w:pPr>
            <w:r>
              <w:t xml:space="preserve">83.150</w:t>
            </w:r>
          </w:p>
        </w:tc>
        <w:tc>
          <w:tcPr/>
          <w:p>
            <w:pPr>
              <w:pStyle w:val="Compact"/>
              <w:jc w:val="center"/>
            </w:pPr>
            <w:r>
              <w:t xml:space="preserve">2.654</w:t>
            </w:r>
          </w:p>
        </w:tc>
        <w:tc>
          <w:tcPr/>
          <w:p>
            <w:pPr>
              <w:pStyle w:val="Compact"/>
              <w:jc w:val="center"/>
            </w:pPr>
            <w:r>
              <w:t xml:space="preserve">14.820</w:t>
            </w:r>
          </w:p>
        </w:tc>
        <w:tc>
          <w:tcPr/>
          <w:p>
            <w:pPr>
              <w:pStyle w:val="Compact"/>
              <w:jc w:val="center"/>
            </w:pPr>
            <w:r>
              <w:t xml:space="preserve">185.320</w:t>
            </w:r>
          </w:p>
        </w:tc>
      </w:tr>
      <w:tr>
        <w:tc>
          <w:tcPr/>
          <w:p>
            <w:pPr>
              <w:pStyle w:val="Compact"/>
              <w:jc w:val="left"/>
            </w:pPr>
            <w:r>
              <w:rPr>
                <w:rFonts w:hint="eastAsia"/>
              </w:rPr>
              <w:t xml:space="preserve">残差深度学习模型</w:t>
            </w:r>
            <w:r>
              <w:rPr>
                <w:vertAlign w:val="superscript"/>
              </w:rPr>
              <w:t xml:space="preserve">[3]</w:t>
            </w:r>
          </w:p>
        </w:tc>
        <w:tc>
          <w:tcPr/>
          <w:p>
            <w:pPr>
              <w:pStyle w:val="Compact"/>
              <w:jc w:val="center"/>
            </w:pPr>
            <w:r>
              <w:t xml:space="preserve">89.640</w:t>
            </w:r>
          </w:p>
        </w:tc>
        <w:tc>
          <w:tcPr/>
          <w:p>
            <w:pPr>
              <w:pStyle w:val="Compact"/>
              <w:jc w:val="center"/>
            </w:pPr>
            <w:r>
              <w:t xml:space="preserve">1.432</w:t>
            </w:r>
          </w:p>
        </w:tc>
        <w:tc>
          <w:tcPr/>
          <w:p>
            <w:pPr>
              <w:pStyle w:val="Compact"/>
              <w:jc w:val="center"/>
            </w:pPr>
            <w:r>
              <w:t xml:space="preserve">16.500</w:t>
            </w:r>
          </w:p>
        </w:tc>
        <w:tc>
          <w:tcPr/>
          <w:p>
            <w:pPr>
              <w:pStyle w:val="Compact"/>
              <w:jc w:val="center"/>
            </w:pPr>
            <w:r>
              <w:t xml:space="preserve">162.800</w:t>
            </w:r>
          </w:p>
        </w:tc>
      </w:tr>
      <w:tr>
        <w:tc>
          <w:tcPr/>
          <w:p>
            <w:pPr>
              <w:pStyle w:val="Compact"/>
              <w:jc w:val="left"/>
            </w:pPr>
            <w:r>
              <w:rPr>
                <w:rFonts w:hint="eastAsia"/>
              </w:rPr>
              <w:t xml:space="preserve">本文方法</w:t>
            </w:r>
            <w:r>
              <w:t xml:space="preserve"> (Ours)</w:t>
            </w:r>
          </w:p>
        </w:tc>
        <w:tc>
          <w:tcPr/>
          <w:p>
            <w:pPr>
              <w:pStyle w:val="Compact"/>
              <w:jc w:val="center"/>
            </w:pPr>
            <w:r>
              <w:t xml:space="preserve">96.872</w:t>
            </w:r>
          </w:p>
        </w:tc>
        <w:tc>
          <w:tcPr/>
          <w:p>
            <w:pPr>
              <w:pStyle w:val="Compact"/>
              <w:jc w:val="center"/>
            </w:pPr>
            <w:r>
              <w:t xml:space="preserve">0.815</w:t>
            </w:r>
          </w:p>
        </w:tc>
        <w:tc>
          <w:tcPr/>
          <w:p>
            <w:pPr>
              <w:pStyle w:val="Compact"/>
              <w:jc w:val="center"/>
            </w:pPr>
            <w:r>
              <w:t xml:space="preserve">18.340</w:t>
            </w:r>
          </w:p>
        </w:tc>
        <w:tc>
          <w:tcPr/>
          <w:p>
            <w:pPr>
              <w:pStyle w:val="Compact"/>
              <w:jc w:val="center"/>
            </w:pPr>
            <w:r>
              <w:t xml:space="preserve">142.110</w:t>
            </w:r>
          </w:p>
        </w:tc>
      </w:tr>
    </w:tbl>
    <w:p>
      <w:pPr>
        <w:pStyle w:val="TableNote"/>
      </w:pPr>
      <w:r>
        <w:rPr>
          <w:rFonts w:hint="eastAsia"/>
        </w:rPr>
        <w:t xml:space="preserve">注：所有指标均在单卡测试环境下获得，定位误差采用高精度光学追踪仪采集；高精度测试指标保留三位小数。</w:t>
      </w:r>
    </w:p>
    <w:p>
      <w:pPr>
        <w:pStyle w:val="BodyText"/>
      </w:pPr>
      <w:r>
        <w:rPr>
          <w:rFonts w:hint="eastAsia"/>
        </w:rPr>
        <w:t xml:space="preserve">实验数据表明，相较于基准模型，本文提出的算法在抓取成功率上取得了显著提升，平均定位误差降低至</w:t>
      </w:r>
      <w:r>
        <w:t xml:space="preserve"> 0.815 </w:t>
      </w:r>
      <w:r>
        <w:rPr>
          <w:rFonts w:hint="eastAsia"/>
        </w:rPr>
        <w:t xml:space="preserve">mm，充分印证了多模态表征融合在精密操作中的优越性。</w:t>
      </w:r>
    </w:p>
    <w:bookmarkEnd w:id="28"/>
    <w:bookmarkStart w:id="33"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本文针对移动机器人灵巧操作控制难题，系统构建了多模态闭环感知与深度强化学习控制体系。实验验证了该方法在高动态交互场景下的鲁棒性与精度。</w:t>
      </w:r>
    </w:p>
    <w:p>
      <w:pPr>
        <w:pStyle w:val="ReferencesTitle"/>
      </w:pPr>
      <w:r>
        <w:rPr>
          <w:rFonts w:hint="eastAsia"/>
        </w:rPr>
        <w:t xml:space="preserve">参考文献</w:t>
      </w:r>
    </w:p>
    <w:bookmarkStart w:id="32" w:name="refs"/>
    <w:bookmarkStart w:id="29" w:name="ref-mnih2015"/>
    <w:p>
      <w:pPr>
        <w:pStyle w:val="Bibliography"/>
      </w:pPr>
      <w:r>
        <w:t xml:space="preserve">[1]MNIH V, KAVUKCUOGLU K, SILVER D, </w:t>
      </w:r>
      <w:r>
        <w:rPr>
          <w:rFonts w:hint="eastAsia"/>
        </w:rPr>
        <w:t xml:space="preserve">等.</w:t>
      </w:r>
      <w:r>
        <w:t xml:space="preserve"> Human-level control through deep reinforcement learning[J]. Nature, 2015, 518(7540): 529-533.</w:t>
      </w:r>
    </w:p>
    <w:bookmarkEnd w:id="29"/>
    <w:bookmarkStart w:id="30" w:name="ref-silver2016"/>
    <w:p>
      <w:pPr>
        <w:pStyle w:val="Bibliography"/>
      </w:pPr>
      <w:r>
        <w:t xml:space="preserve">[2]SILVER D, HUANG A, MADDISON C J, </w:t>
      </w:r>
      <w:r>
        <w:rPr>
          <w:rFonts w:hint="eastAsia"/>
        </w:rPr>
        <w:t xml:space="preserve">等.</w:t>
      </w:r>
      <w:r>
        <w:t xml:space="preserve"> Mastering the game of Go with deep neural networks and tree search[J]. Nature, 2016, 529(7587): 484-489.</w:t>
      </w:r>
    </w:p>
    <w:bookmarkEnd w:id="30"/>
    <w:bookmarkStart w:id="31" w:name="ref-he2016"/>
    <w:p>
      <w:pPr>
        <w:pStyle w:val="Bibliography"/>
      </w:pPr>
      <w:r>
        <w:t xml:space="preserve">[3]HE K, ZHANG X, REN S, </w:t>
      </w:r>
      <w:r>
        <w:rPr>
          <w:rFonts w:hint="eastAsia"/>
        </w:rPr>
        <w:t xml:space="preserve">等.</w:t>
      </w:r>
      <w:r>
        <w:t xml:space="preserve"> Deep residual learning for image recognition[J]. Proceedings of the IEEE Conference on Computer Vision and Pattern Recognition, 2016: 770-778.</w:t>
      </w:r>
    </w:p>
    <w:bookmarkEnd w:id="31"/>
    <w:bookmarkEnd w:id="32"/>
    <w:bookmarkEnd w:id="33"/>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接触力信号采样频率通常需达到</w:t>
      </w:r>
      <w:r>
        <w:t xml:space="preserve"> 1000 Hz </w:t>
      </w:r>
      <w:r>
        <w:rPr>
          <w:rFonts w:hint="eastAsia"/>
        </w:rPr>
        <w:t xml:space="preserve">以上，方可满足高动态碰撞检测与微滑移实时补偿的频宽要求。</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SourceCode" w:type="paragraph">
    <w:name w:val="Source Code"/>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VerbatimChar" w:type="character">
    <w:name w:val="Verbatim Char"/>
    <w:basedOn w:val="DefaultParagraphFont"/>
    <w:qFormat/>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18" Target="media/rId18.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基于多模态感知与深度强化学习的机器人灵巧操作研究</dc:title>
  <dc:creator/>
  <cp:keywords/>
  <dcterms:created xsi:type="dcterms:W3CDTF">2026-10-10T09:18:02Z</dcterms:created>
  <dcterms:modified xsi:type="dcterms:W3CDTF">2026-10-10T09:18:02Z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