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新一代企业级通用人工智能基础设施演进与效能评估</w:t>
      </w:r>
    </w:p>
    <w:p>
      <w:pPr>
        <w:pStyle w:val="AbstractTitle"/>
      </w:pPr>
      <w:r>
        <w:rPr>
          <w:rFonts w:hint="eastAsia"/>
        </w:rPr>
        <w:t xml:space="preserve">执行摘要</w:t>
      </w:r>
    </w:p>
    <w:p>
      <w:pPr>
        <w:pStyle w:val="Abstract"/>
      </w:pPr>
      <w:r>
        <w:rPr>
          <w:rFonts w:hint="eastAsia"/>
        </w:rPr>
        <w:t xml:space="preserve">随着超大规模基础模型在金融风控、生物医疗与先进制造等关键垂直行业的纵深落地，底层计算基础设施的能效比与高吞吐低延迟服务能力成为决定商业成效的关键瓶颈。本白皮书系统剖析了融合混合专家（MoE）路由机制与异构算力集群协同编排的新一代架构范式。评测数据显示，新一代系统在跨行业标准推理基准测试中，平均任务响应延迟降低至</w:t>
      </w:r>
      <w:r>
        <w:t xml:space="preserve"> 18.250 </w:t>
      </w:r>
      <w:r>
        <w:rPr>
          <w:rFonts w:hint="eastAsia"/>
        </w:rPr>
        <w:t xml:space="preserve">ms，系统整体有效吞吐提升</w:t>
      </w:r>
      <w:r>
        <w:t xml:space="preserve"> </w:t>
      </w:r>
      <w:r>
        <w:rPr>
          <w:rFonts w:hint="eastAsia"/>
        </w:rPr>
        <w:t xml:space="preserve">61.538%，为企业级大模型产业化实施提供了全景参考基准。</w:t>
      </w:r>
    </w:p>
    <w:p>
      <w:pPr>
        <w:pStyle w:val="Keywords"/>
      </w:pPr>
      <w:r>
        <w:rPr>
          <w:rFonts w:hint="eastAsia"/>
        </w:rPr>
        <w:t xml:space="preserve">通用人工智能；基础设施；混合专家架构；算力协同；性能基准</w:t>
      </w:r>
    </w:p>
    <w:bookmarkStart w:id="17" w:name="第一章-产业背景与技术趋势"/>
    <w:p>
      <w:pPr>
        <w:pStyle w:val="Heading1"/>
      </w:pPr>
      <w:r>
        <w:rPr>
          <w:rFonts w:hint="eastAsia"/>
        </w:rPr>
        <w:t xml:space="preserve">第一章</w:t>
      </w:r>
      <w:r>
        <w:t xml:space="preserve"> </w:t>
      </w:r>
      <w:r>
        <w:rPr>
          <w:rFonts w:hint="eastAsia"/>
        </w:rPr>
        <w:t xml:space="preserve">产业背景与技术趋势</w:t>
      </w:r>
    </w:p>
    <w:p>
      <w:pPr>
        <w:pStyle w:val="FirstParagraph"/>
      </w:pPr>
      <w:r>
        <w:rPr>
          <w:rFonts w:hint="eastAsia"/>
        </w:rPr>
        <w:t xml:space="preserve">自注意力机制的提出奠定了现代大语言模型的基础架构</w:t>
      </w:r>
      <w:r>
        <w:t xml:space="preserve"> </w:t>
      </w:r>
      <w:r>
        <w:t xml:space="preserve">(Vaswani et al., 2017)</w:t>
      </w:r>
      <w:r>
        <w:rPr>
          <w:rFonts w:hint="eastAsia"/>
        </w:rPr>
        <w:t xml:space="preserve">，随后少样本与上下文学习能力的涌现进一步推动了基础模型在各工业场景中的规模化迁移应用</w:t>
      </w:r>
      <w:r>
        <w:t xml:space="preserve"> </w:t>
      </w:r>
      <w:r>
        <w:t xml:space="preserve">(Brown et al., 2020)</w:t>
      </w:r>
      <w:r>
        <w:rPr>
          <w:rFonts w:hint="eastAsia"/>
        </w:rPr>
        <w:t xml:space="preserve">。在深层网络策略优化领域，树搜索与强化学习的结合揭示了高维策略规划的潜力</w:t>
      </w:r>
      <w:r>
        <w:t xml:space="preserve"> </w:t>
      </w:r>
      <w:r>
        <w:t xml:space="preserve">(Silver et al., 2016)</w:t>
      </w:r>
      <w:r>
        <w:t xml:space="preserve">。</w:t>
      </w:r>
    </w:p>
    <w:p>
      <w:pPr>
        <w:pStyle w:val="BodyText"/>
      </w:pPr>
      <w:r>
        <w:rPr>
          <w:rFonts w:hint="eastAsia"/>
        </w:rPr>
        <w:t xml:space="preserve">然而，面对企业级业务场景严苛的</w:t>
      </w:r>
      <w:r>
        <w:t xml:space="preserve"> SLA </w:t>
      </w:r>
      <w:r>
        <w:rPr>
          <w:rFonts w:hint="eastAsia"/>
        </w:rPr>
        <w:t xml:space="preserve">要求，如何在保障生成准确率的同时大幅削减推理算力成本，成为整个产业界关注的核心焦点。当前系统设计重点强调</w:t>
      </w:r>
      <w:r>
        <w:rPr>
          <w:rFonts w:hint="eastAsia"/>
          <w:b/>
          <w:bCs/>
        </w:rPr>
        <w:t xml:space="preserve">确定性时延保障</w:t>
      </w:r>
      <w:r>
        <w:t xml:space="preserve">、</w:t>
      </w:r>
      <w:r>
        <w:rPr>
          <w:rFonts w:hint="eastAsia"/>
          <w:i/>
          <w:iCs/>
        </w:rPr>
        <w:t xml:space="preserve">动态显存拓扑感知</w:t>
      </w:r>
      <w:r>
        <w:rPr>
          <w:rFonts w:hint="eastAsia"/>
        </w:rPr>
        <w:t xml:space="preserve">，以及针对高并发请求的</w:t>
      </w:r>
      <w:r>
        <w:rPr>
          <w:rFonts w:hint="eastAsia"/>
          <w:u w:val="single"/>
        </w:rPr>
        <w:t xml:space="preserve">细粒度算力调度策略</w:t>
      </w:r>
      <w:r>
        <w:t xml:space="preserve">。</w:t>
      </w:r>
    </w:p>
    <w:bookmarkEnd w:id="17"/>
    <w:bookmarkStart w:id="19" w:name="第二章-系统核心架构与效能模型"/>
    <w:p>
      <w:pPr>
        <w:pStyle w:val="Heading1"/>
      </w:pPr>
      <w:r>
        <w:rPr>
          <w:rFonts w:hint="eastAsia"/>
        </w:rPr>
        <w:t xml:space="preserve">第二章</w:t>
      </w:r>
      <w:r>
        <w:t xml:space="preserve"> </w:t>
      </w:r>
      <w:r>
        <w:rPr>
          <w:rFonts w:hint="eastAsia"/>
        </w:rPr>
        <w:t xml:space="preserve">系统核心架构与效能模型</w:t>
      </w:r>
    </w:p>
    <w:p>
      <w:pPr>
        <w:pStyle w:val="FirstParagraph"/>
      </w:pPr>
      <w:r>
        <w:rPr>
          <w:rFonts w:hint="eastAsia"/>
        </w:rPr>
        <w:t xml:space="preserve">为实现计算资源的最优分配，系统引入了动态资源分配算子。设集群总可用显存带宽为</w:t>
      </w:r>
      <w:r>
        <w:t xml:space="preserve"> </w:t>
      </w:r>
      <m:oMath>
        <m:r>
          <m:t>B</m:t>
        </m:r>
      </m:oMath>
      <w:r>
        <w:rPr>
          <w:rFonts w:hint="eastAsia"/>
        </w:rPr>
        <w:t xml:space="preserve">，请求到达流服从非齐次泊松过程，系统稳态吞吐量</w:t>
      </w:r>
      <w:r>
        <w:t xml:space="preserve"> </w:t>
      </w:r>
      <m:oMath>
        <m:r>
          <m:rPr>
            <m:sty m:val="p"/>
          </m:rPr>
          <m:t>Φ</m:t>
        </m:r>
      </m:oMath>
      <w:r>
        <w:t xml:space="preserve"> </w:t>
      </w:r>
      <w:r>
        <w:rPr>
          <w:rFonts w:hint="eastAsia"/>
        </w:rPr>
        <w:t xml:space="preserve">可建模为：</w:t>
      </w:r>
    </w:p>
    <w:tbl>
      <w:tblPr>
        <w:tblW w:w="5000" w:type="pct"/>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444"/>
        <w:gridCol w:w="6137"/>
        <w:gridCol w:w="1444"/>
      </w:tblGrid>
      <w:tr>
        <w:tc>
          <w:tcPr>
            <w:tcW w:w="800" w:type="pct"/>
            <w:vAlign w:val="center"/>
          </w:tcPr>
          <w:p>
            <w:pPr>
              <w:pStyle w:val="BodyText"/>
              <w:spacing w:before="0" w:after="0"/>
            </w:pPr>
          </w:p>
        </w:tc>
        <w:tc>
          <w:tcPr>
            <w:tcW w:w="3400" w:type="pct"/>
            <w:vAlign w:val="center"/>
          </w:tcPr>
          <w:p>
            <w:pPr>
              <w:pStyle w:val="BodyText"/>
              <w:jc w:val="center"/>
              <w:spacing w:before="120" w:after="120"/>
            </w:pPr>
            <m:oMathPara>
              <m:oMathParaPr>
                <m:jc m:val="center"/>
              </m:oMathParaPr>
              <m:oMath>
                <m:r>
                  <m:rPr>
                    <m:sty m:val="p"/>
                  </m:rPr>
                  <m:t>Φ</m:t>
                </m:r>
                <m:r>
                  <m:rPr>
                    <m:sty m:val="p"/>
                  </m:rPr>
                  <m:t>(</m:t>
                </m:r>
                <m:r>
                  <m:t>λ</m:t>
                </m:r>
                <m:r>
                  <m:rPr>
                    <m:sty m:val="p"/>
                  </m:rPr>
                  <m:t>)</m:t>
                </m:r>
                <m:r>
                  <m:rPr>
                    <m:sty m:val="p"/>
                  </m:rPr>
                  <m:t>=</m:t>
                </m:r>
                <m:nary>
                  <m:naryPr>
                    <m:chr m:val="∑"/>
                    <m:limLoc m:val="undOvr"/>
                    <m:subHide m:val="off"/>
                    <m:supHide m:val="off"/>
                  </m:naryPr>
                  <m:sub>
                    <m:r>
                      <m:t>k</m:t>
                    </m:r>
                    <m:r>
                      <m:rPr>
                        <m:sty m:val="p"/>
                      </m:rPr>
                      <m:t>=</m:t>
                    </m:r>
                    <m:r>
                      <m:t>1</m:t>
                    </m:r>
                  </m:sub>
                  <m:sup>
                    <m:r>
                      <m:t>K</m:t>
                    </m:r>
                  </m:sup>
                  <m:e>
                    <m:f>
                      <m:fPr>
                        <m:type m:val="bar"/>
                      </m:fPr>
                      <m:num>
                        <m:sSub>
                          <m:e>
                            <m:r>
                              <m:t>λ</m:t>
                            </m:r>
                          </m:e>
                          <m:sub>
                            <m:r>
                              <m:t>k</m:t>
                            </m:r>
                          </m:sub>
                        </m:sSub>
                        <m:r>
                          <m:rPr>
                            <m:sty m:val="p"/>
                          </m:rPr>
                          <m:t>⋅</m:t>
                        </m:r>
                        <m:sSub>
                          <m:e>
                            <m:r>
                              <m:t>μ</m:t>
                            </m:r>
                          </m:e>
                          <m:sub>
                            <m:r>
                              <m:t>k</m:t>
                            </m:r>
                          </m:sub>
                        </m:sSub>
                      </m:num>
                      <m:den>
                        <m:r>
                          <m:t>α</m:t>
                        </m:r>
                        <m:r>
                          <m:rPr>
                            <m:sty m:val="p"/>
                          </m:rPr>
                          <m:t>⋅</m:t>
                        </m:r>
                        <m:r>
                          <m:rPr>
                            <m:sty m:val="p"/>
                          </m:rPr>
                          <m:t>log</m:t>
                        </m:r>
                        <m:r>
                          <m:rPr>
                            <m:sty m:val="p"/>
                          </m:rPr>
                          <m:t>(</m:t>
                        </m:r>
                        <m:r>
                          <m:t>1</m:t>
                        </m:r>
                        <m:r>
                          <m:rPr>
                            <m:sty m:val="p"/>
                          </m:rPr>
                          <m:t>+</m:t>
                        </m:r>
                        <m:sSub>
                          <m:e>
                            <m:r>
                              <m:rPr>
                                <m:nor/>
                                <m:sty m:val="p"/>
                              </m:rPr>
                              <m:t>SNR</m:t>
                            </m:r>
                          </m:e>
                          <m:sub>
                            <m:r>
                              <m:t>k</m:t>
                            </m:r>
                          </m:sub>
                        </m:sSub>
                        <m:r>
                          <m:rPr>
                            <m:sty m:val="p"/>
                          </m:rPr>
                          <m:t>)</m:t>
                        </m:r>
                        <m:r>
                          <m:rPr>
                            <m:sty m:val="p"/>
                          </m:rPr>
                          <m:t>+</m:t>
                        </m:r>
                        <m:r>
                          <m:t>β</m:t>
                        </m:r>
                      </m:den>
                    </m:f>
                  </m:e>
                </m:nary>
                <m:r>
                  <m:t>  </m:t>
                </m:r>
              </m:oMath>
            </m:oMathPara>
            <w:bookmarkStart w:id="18" w:name="eq-throughput"/>
            <w:bookmarkEnd w:id="18"/>
          </w:p>
        </w:tc>
        <w:tc>
          <w:tcPr>
            <w:tcW w:w="800" w:type="pct"/>
            <w:vAlign w:val="center"/>
          </w:tcPr>
          <w:p>
            <w:pPr>
              <w:pStyle w:val="BodyText"/>
              <w:jc w:val="right"/>
              <w:spacing w:before="0" w:after="0"/>
            </w:pPr>
            <w:r>
              <w:t>(1)</w:t>
            </w:r>
          </w:p>
        </w:tc>
      </w:tr>
    </w:tbl>
    <w:p>
      <w:pPr>
        <w:pStyle w:val="FirstParagraph"/>
      </w:pPr>
      <w:r>
        <w:rPr>
          <w:rFonts w:hint="eastAsia"/>
        </w:rPr>
        <w:t xml:space="preserve">其中</w:t>
      </w:r>
      <w:r>
        <w:t xml:space="preserve"> </w:t>
      </w:r>
      <m:oMath>
        <m:sSub>
          <m:e>
            <m:r>
              <m:t>λ</m:t>
            </m:r>
          </m:e>
          <m:sub>
            <m:r>
              <m:t>k</m:t>
            </m:r>
          </m:sub>
        </m:sSub>
      </m:oMath>
      <w:r>
        <w:t xml:space="preserve"> </w:t>
      </w:r>
      <w:r>
        <w:rPr>
          <w:rFonts w:hint="eastAsia"/>
        </w:rPr>
        <w:t xml:space="preserve">为第</w:t>
      </w:r>
      <w:r>
        <w:t xml:space="preserve"> </w:t>
      </w:r>
      <m:oMath>
        <m:r>
          <m:t>k</m:t>
        </m:r>
      </m:oMath>
      <w:r>
        <w:t xml:space="preserve"> </w:t>
      </w:r>
      <w:r>
        <w:rPr>
          <w:rFonts w:hint="eastAsia"/>
        </w:rPr>
        <w:t xml:space="preserve">类业务负载的突发率，</w:t>
      </w:r>
      <m:oMath>
        <m:sSub>
          <m:e>
            <m:r>
              <m:t>μ</m:t>
            </m:r>
          </m:e>
          <m:sub>
            <m:r>
              <m:t>k</m:t>
            </m:r>
          </m:sub>
        </m:sSub>
      </m:oMath>
      <w:r>
        <w:t xml:space="preserve"> </w:t>
      </w:r>
      <w:r>
        <w:rPr>
          <w:rFonts w:hint="eastAsia"/>
        </w:rPr>
        <w:t xml:space="preserve">为平均</w:t>
      </w:r>
      <w:r>
        <w:t xml:space="preserve"> Token </w:t>
      </w:r>
      <w:r>
        <w:rPr>
          <w:rFonts w:hint="eastAsia"/>
        </w:rPr>
        <w:t xml:space="preserve">处理密度。通过自适应解耦路由策略，系统能够动态平衡跨节点互联带宽。</w:t>
      </w:r>
    </w:p>
    <w:bookmarkEnd w:id="19"/>
    <w:bookmarkStart w:id="23" w:name="第三章-基准测试与量化性能分析"/>
    <w:p>
      <w:pPr>
        <w:pStyle w:val="Heading1"/>
      </w:pPr>
      <w:r>
        <w:rPr>
          <w:rFonts w:hint="eastAsia"/>
        </w:rPr>
        <w:t xml:space="preserve">第三章</w:t>
      </w:r>
      <w:r>
        <w:t xml:space="preserve"> </w:t>
      </w:r>
      <w:r>
        <w:rPr>
          <w:rFonts w:hint="eastAsia"/>
        </w:rPr>
        <w:t xml:space="preserve">基准测试与量化性能分析</w:t>
      </w:r>
    </w:p>
    <w:p>
      <w:pPr>
        <w:pStyle w:val="FirstParagraph"/>
      </w:pPr>
      <w:r>
        <w:rPr>
          <w:rFonts w:hint="eastAsia"/>
        </w:rPr>
        <w:t xml:space="preserve">我们在标准跨行业基准套件上对两代核心推理引擎展开了端到端压力测试，归一化综合评分如图</w:t>
      </w:r>
      <w:r>
        <w:t xml:space="preserve"> 1 </w:t>
      </w:r>
      <w:r>
        <w:rPr>
          <w:rFonts w:hint="eastAsia"/>
        </w:rPr>
        <w:t xml:space="preserve">所示。</w:t>
      </w:r>
    </w:p>
    <w:p>
      <w:pPr>
        <w:pStyle w:val="CaptionedFigure"/>
      </w:pPr>
      <w:r>
        <w:drawing>
          <wp:inline>
            <wp:extent cx="5039999" cy="2481230"/>
            <wp:effectExtent b="0" l="0" r="0" t="0"/>
            <wp:docPr descr="图 1 跨行业模型量化评估综合 Benchmark 对比" title="" id="21" name="Picture"/>
            <a:graphic>
              <a:graphicData uri="http://schemas.openxmlformats.org/drawingml/2006/picture">
                <pic:pic>
                  <pic:nvPicPr>
                    <pic:cNvPr descr="figures/benchmark_comparison.png" id="22" name="Picture"/>
                    <pic:cNvPicPr>
                      <a:picLocks noChangeArrowheads="1" noChangeAspect="1"/>
                    </pic:cNvPicPr>
                  </pic:nvPicPr>
                  <pic:blipFill>
                    <a:blip r:embed="rId20"/>
                    <a:stretch>
                      <a:fillRect/>
                    </a:stretch>
                  </pic:blipFill>
                  <pic:spPr bwMode="auto">
                    <a:xfrm>
                      <a:off x="0" y="0"/>
                      <a:ext cx="5039999" cy="2481230"/>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跨行业模型量化评估综合</w:t>
      </w:r>
      <w:r>
        <w:t xml:space="preserve"> Benchmark </w:t>
      </w:r>
      <w:r>
        <w:rPr>
          <w:rFonts w:hint="eastAsia"/>
        </w:rPr>
        <w:t xml:space="preserve">对比</w:t>
      </w:r>
    </w:p>
    <w:p>
      <w:pPr>
        <w:pStyle w:val="BodyText"/>
      </w:pPr>
      <w:r>
        <w:rPr>
          <w:rFonts w:hint="eastAsia"/>
        </w:rPr>
        <w:t xml:space="preserve">核心量化指标详细对比数据汇总如表</w:t>
      </w:r>
      <w:r>
        <w:t xml:space="preserve"> 1 </w:t>
      </w:r>
      <w:r>
        <w:rPr>
          <w:rFonts w:hint="eastAsia"/>
        </w:rPr>
        <w:t xml:space="preserve">所示。</w:t>
      </w:r>
    </w:p>
    <w:p>
      <w:pPr>
        <w:pStyle w:val="TableCaption"/>
      </w:pPr>
      <w:r>
        <w:rPr>
          <w:rFonts w:hint="eastAsia"/>
          <w:b/>
          <w:bCs/>
        </w:rPr>
        <w:t xml:space="preserve">表</w:t>
      </w:r>
      <w:r>
        <w:rPr>
          <w:b/>
          <w:bCs/>
        </w:rPr>
        <w:t xml:space="preserve"> 1</w:t>
      </w:r>
      <w:r>
        <w:t xml:space="preserve"> </w:t>
      </w:r>
      <w:r>
        <w:rPr>
          <w:rFonts w:hint="eastAsia"/>
        </w:rPr>
        <w:t xml:space="preserve">新一代引擎与基线系统关键指标对比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评估维度</w:t>
            </w:r>
          </w:p>
        </w:tc>
        <w:tc>
          <w:tcPr/>
          <w:p>
            <w:pPr>
              <w:pStyle w:val="Compact"/>
              <w:jc w:val="center"/>
            </w:pPr>
            <w:r>
              <w:rPr>
                <w:rFonts w:hint="eastAsia"/>
              </w:rPr>
              <w:t xml:space="preserve">基线引擎</w:t>
            </w:r>
            <w:r>
              <w:t xml:space="preserve"> v1</w:t>
            </w:r>
          </w:p>
        </w:tc>
        <w:tc>
          <w:tcPr/>
          <w:p>
            <w:pPr>
              <w:pStyle w:val="Compact"/>
              <w:jc w:val="center"/>
            </w:pPr>
            <w:r>
              <w:rPr>
                <w:rFonts w:hint="eastAsia"/>
              </w:rPr>
              <w:t xml:space="preserve">新一代企业级引擎</w:t>
            </w:r>
            <w:r>
              <w:t xml:space="preserve"> v2</w:t>
            </w:r>
          </w:p>
        </w:tc>
        <w:tc>
          <w:tcPr/>
          <w:p>
            <w:pPr>
              <w:pStyle w:val="Compact"/>
              <w:jc w:val="center"/>
            </w:pPr>
            <w:r>
              <w:rPr>
                <w:rFonts w:hint="eastAsia"/>
              </w:rPr>
              <w:t xml:space="preserve">提升幅度</w:t>
            </w:r>
            <w:r>
              <w:t xml:space="preserve"> (%)</w:t>
            </w:r>
          </w:p>
        </w:tc>
      </w:tr>
      <w:tr>
        <w:tc>
          <w:tcPr/>
          <w:p>
            <w:pPr>
              <w:pStyle w:val="Compact"/>
              <w:jc w:val="left"/>
            </w:pPr>
            <w:r>
              <w:rPr>
                <w:rFonts w:hint="eastAsia"/>
              </w:rPr>
              <w:t xml:space="preserve">任务精准度</w:t>
            </w:r>
            <w:r>
              <w:t xml:space="preserve"> Precision (%)</w:t>
            </w:r>
          </w:p>
        </w:tc>
        <w:tc>
          <w:tcPr/>
          <w:p>
            <w:pPr>
              <w:pStyle w:val="Compact"/>
              <w:jc w:val="center"/>
            </w:pPr>
            <w:r>
              <w:t xml:space="preserve">85.320</w:t>
            </w:r>
          </w:p>
        </w:tc>
        <w:tc>
          <w:tcPr/>
          <w:p>
            <w:pPr>
              <w:pStyle w:val="Compact"/>
              <w:jc w:val="center"/>
            </w:pPr>
            <w:r>
              <w:t xml:space="preserve">94.815</w:t>
            </w:r>
          </w:p>
        </w:tc>
        <w:tc>
          <w:tcPr/>
          <w:p>
            <w:pPr>
              <w:pStyle w:val="Compact"/>
              <w:jc w:val="center"/>
            </w:pPr>
            <w:r>
              <w:t xml:space="preserve">+11.129</w:t>
            </w:r>
          </w:p>
        </w:tc>
      </w:tr>
      <w:tr>
        <w:tc>
          <w:tcPr/>
          <w:p>
            <w:pPr>
              <w:pStyle w:val="Compact"/>
              <w:jc w:val="left"/>
            </w:pPr>
            <w:r>
              <w:rPr>
                <w:rFonts w:hint="eastAsia"/>
              </w:rPr>
              <w:t xml:space="preserve">召回率</w:t>
            </w:r>
            <w:r>
              <w:t xml:space="preserve"> Recall (%)</w:t>
            </w:r>
          </w:p>
        </w:tc>
        <w:tc>
          <w:tcPr/>
          <w:p>
            <w:pPr>
              <w:pStyle w:val="Compact"/>
              <w:jc w:val="center"/>
            </w:pPr>
            <w:r>
              <w:t xml:space="preserve">83.210</w:t>
            </w:r>
          </w:p>
        </w:tc>
        <w:tc>
          <w:tcPr/>
          <w:p>
            <w:pPr>
              <w:pStyle w:val="Compact"/>
              <w:jc w:val="center"/>
            </w:pPr>
            <w:r>
              <w:t xml:space="preserve">93.540</w:t>
            </w:r>
          </w:p>
        </w:tc>
        <w:tc>
          <w:tcPr/>
          <w:p>
            <w:pPr>
              <w:pStyle w:val="Compact"/>
              <w:jc w:val="center"/>
            </w:pPr>
            <w:r>
              <w:t xml:space="preserve">+12.414</w:t>
            </w:r>
          </w:p>
        </w:tc>
      </w:tr>
      <w:tr>
        <w:tc>
          <w:tcPr/>
          <w:p>
            <w:pPr>
              <w:pStyle w:val="Compact"/>
              <w:jc w:val="left"/>
            </w:pPr>
            <w:r>
              <w:rPr>
                <w:rFonts w:hint="eastAsia"/>
              </w:rPr>
              <w:t xml:space="preserve">平均推理延迟</w:t>
            </w:r>
            <w:r>
              <w:t xml:space="preserve"> (ms)</w:t>
            </w:r>
          </w:p>
        </w:tc>
        <w:tc>
          <w:tcPr/>
          <w:p>
            <w:pPr>
              <w:pStyle w:val="Compact"/>
              <w:jc w:val="center"/>
            </w:pPr>
            <w:r>
              <w:t xml:space="preserve">29.500</w:t>
            </w:r>
          </w:p>
        </w:tc>
        <w:tc>
          <w:tcPr/>
          <w:p>
            <w:pPr>
              <w:pStyle w:val="Compact"/>
              <w:jc w:val="center"/>
            </w:pPr>
            <w:r>
              <w:t xml:space="preserve">18.250</w:t>
            </w:r>
          </w:p>
        </w:tc>
        <w:tc>
          <w:tcPr/>
          <w:p>
            <w:pPr>
              <w:pStyle w:val="Compact"/>
              <w:jc w:val="center"/>
            </w:pPr>
            <w:r>
              <w:t xml:space="preserve">-38.136</w:t>
            </w:r>
          </w:p>
        </w:tc>
      </w:tr>
      <w:tr>
        <w:tc>
          <w:tcPr/>
          <w:p>
            <w:pPr>
              <w:pStyle w:val="Compact"/>
              <w:jc w:val="left"/>
            </w:pPr>
            <w:r>
              <w:rPr>
                <w:rFonts w:hint="eastAsia"/>
              </w:rPr>
              <w:t xml:space="preserve">系统并发吞吐量</w:t>
            </w:r>
            <w:r>
              <w:t xml:space="preserve"> (req/s)</w:t>
            </w:r>
          </w:p>
        </w:tc>
        <w:tc>
          <w:tcPr/>
          <w:p>
            <w:pPr>
              <w:pStyle w:val="Compact"/>
              <w:jc w:val="center"/>
            </w:pPr>
            <w:r>
              <w:t xml:space="preserve">260.000</w:t>
            </w:r>
          </w:p>
        </w:tc>
        <w:tc>
          <w:tcPr/>
          <w:p>
            <w:pPr>
              <w:pStyle w:val="Compact"/>
              <w:jc w:val="center"/>
            </w:pPr>
            <w:r>
              <w:t xml:space="preserve">420.000</w:t>
            </w:r>
          </w:p>
        </w:tc>
        <w:tc>
          <w:tcPr/>
          <w:p>
            <w:pPr>
              <w:pStyle w:val="Compact"/>
              <w:jc w:val="center"/>
            </w:pPr>
            <w:r>
              <w:t xml:space="preserve">+61.538</w:t>
            </w:r>
          </w:p>
        </w:tc>
      </w:tr>
    </w:tbl>
    <w:p>
      <w:pPr>
        <w:pStyle w:val="TableNote"/>
      </w:pPr>
      <w:r>
        <w:rPr>
          <w:rFonts w:hint="eastAsia"/>
        </w:rPr>
        <w:t xml:space="preserve">注：基准测试基于</w:t>
      </w:r>
      <w:r>
        <w:t xml:space="preserve"> 8 </w:t>
      </w:r>
      <w:r>
        <w:rPr>
          <w:rFonts w:hint="eastAsia"/>
        </w:rPr>
        <w:t xml:space="preserve">卡</w:t>
      </w:r>
      <w:r>
        <w:t xml:space="preserve"> H800 </w:t>
      </w:r>
      <w:r>
        <w:rPr>
          <w:rFonts w:hint="eastAsia"/>
        </w:rPr>
        <w:t xml:space="preserve">集群执行，数据为连续</w:t>
      </w:r>
      <w:r>
        <w:t xml:space="preserve"> 72 </w:t>
      </w:r>
      <w:r>
        <w:rPr>
          <w:rFonts w:hint="eastAsia"/>
        </w:rPr>
        <w:t xml:space="preserve">小时压力测试下的稳态统计均值。</w:t>
      </w:r>
    </w:p>
    <w:p>
      <w:pPr>
        <w:pStyle w:val="BodyText"/>
      </w:pPr>
      <w:r>
        <w:rPr>
          <w:rFonts w:hint="eastAsia"/>
        </w:rPr>
        <w:t xml:space="preserve">实测结果证实，新一代架构在保持高精度的同时，吞吐量获得了显著跃升，具备极佳的工业推广价值。</w:t>
      </w:r>
    </w:p>
    <w:bookmarkEnd w:id="23"/>
    <w:bookmarkStart w:id="28" w:name="第四章-总结与展望"/>
    <w:p>
      <w:pPr>
        <w:pStyle w:val="Heading1"/>
      </w:pPr>
      <w:r>
        <w:rPr>
          <w:rFonts w:hint="eastAsia"/>
        </w:rPr>
        <w:t xml:space="preserve">第四章</w:t>
      </w:r>
      <w:r>
        <w:t xml:space="preserve"> </w:t>
      </w:r>
      <w:r>
        <w:rPr>
          <w:rFonts w:hint="eastAsia"/>
        </w:rPr>
        <w:t xml:space="preserve">总结与展望</w:t>
      </w:r>
    </w:p>
    <w:p>
      <w:pPr>
        <w:pStyle w:val="FirstParagraph"/>
      </w:pPr>
      <w:r>
        <w:rPr>
          <w:rFonts w:hint="eastAsia"/>
        </w:rPr>
        <w:t xml:space="preserve">本白皮书提出的企业级架构方案在生产环境中展现了卓越的稳健性。后续将持续推进多模态端云协同计算生态的建设。</w:t>
      </w:r>
    </w:p>
    <w:p>
      <w:pPr>
        <w:pStyle w:val="ReferencesTitle"/>
      </w:pPr>
      <w:r>
        <w:rPr>
          <w:rFonts w:hint="eastAsia"/>
        </w:rPr>
        <w:t xml:space="preserve">参考文献</w:t>
      </w:r>
    </w:p>
    <w:bookmarkStart w:id="27" w:name="refs"/>
    <w:bookmarkStart w:id="24" w:name="ref-brown2020"/>
    <w:p>
      <w:pPr>
        <w:pStyle w:val="Bibliography"/>
      </w:pPr>
      <w:r>
        <w:t xml:space="preserve">Brown, T., Mann, B., Ryder, N., Subbiah, M., Kaplan, J. D., Dhariwal, P., Neelakantan, A., Shyam, P., Sastry, G., &amp; Askell, A. (2020). Language models are few-shot learners.</w:t>
      </w:r>
      <w:r>
        <w:t xml:space="preserve"> </w:t>
      </w:r>
      <w:r>
        <w:rPr>
          <w:i/>
          <w:iCs/>
        </w:rPr>
        <w:t xml:space="preserve">Advances in Neural Information Processing Systems</w:t>
      </w:r>
      <w:r>
        <w:t xml:space="preserve">,</w:t>
      </w:r>
      <w:r>
        <w:t xml:space="preserve"> </w:t>
      </w:r>
      <w:r>
        <w:rPr>
          <w:i/>
          <w:iCs/>
        </w:rPr>
        <w:t xml:space="preserve">33</w:t>
      </w:r>
      <w:r>
        <w:t xml:space="preserve">, 1877–1901.</w:t>
      </w:r>
    </w:p>
    <w:bookmarkEnd w:id="24"/>
    <w:bookmarkStart w:id="25" w:name="ref-silver2016"/>
    <w:p>
      <w:pPr>
        <w:pStyle w:val="Bibliography"/>
      </w:pPr>
      <w:r>
        <w:t xml:space="preserve">Silver, D., Huang, A., Maddison, C. J., Guez, A., Sifre, L., Van Den Driessche, G., Schrittwieser, J., Antonoglou, I., Panneershelvam, V., &amp; Lanctot, M. (2016). Mastering the game of go with deep neural networks and tree search.</w:t>
      </w:r>
      <w:r>
        <w:t xml:space="preserve"> </w:t>
      </w:r>
      <w:r>
        <w:rPr>
          <w:i/>
          <w:iCs/>
        </w:rPr>
        <w:t xml:space="preserve">Nature</w:t>
      </w:r>
      <w:r>
        <w:t xml:space="preserve">,</w:t>
      </w:r>
      <w:r>
        <w:t xml:space="preserve"> </w:t>
      </w:r>
      <w:r>
        <w:rPr>
          <w:i/>
          <w:iCs/>
        </w:rPr>
        <w:t xml:space="preserve">529</w:t>
      </w:r>
      <w:r>
        <w:t xml:space="preserve">(7587), 484–489.</w:t>
      </w:r>
    </w:p>
    <w:bookmarkEnd w:id="25"/>
    <w:bookmarkStart w:id="26" w:name="ref-vaswani2017"/>
    <w:p>
      <w:pPr>
        <w:pStyle w:val="Bibliography"/>
      </w:pPr>
      <w:r>
        <w:t xml:space="preserve">Vaswani, A., Shazeer, N., Parmar, N., Uszkoreit, J., Jones, L., Gomez, A. N., Kaiser, Ł., &amp; Polosukhin, I. (2017). Attention is all you need.</w:t>
      </w:r>
      <w:r>
        <w:t xml:space="preserve"> </w:t>
      </w:r>
      <w:r>
        <w:rPr>
          <w:i/>
          <w:iCs/>
        </w:rPr>
        <w:t xml:space="preserve">Advances in Neural Information Processing Systems</w:t>
      </w:r>
      <w:r>
        <w:t xml:space="preserve">,</w:t>
      </w:r>
      <w:r>
        <w:t xml:space="preserve"> </w:t>
      </w:r>
      <w:r>
        <w:rPr>
          <w:i/>
          <w:iCs/>
        </w:rPr>
        <w:t xml:space="preserve">30</w:t>
      </w:r>
      <w:r>
        <w:t xml:space="preserve">, 5998–6008.</w:t>
      </w:r>
    </w:p>
    <w:bookmarkEnd w:id="26"/>
    <w:bookmarkEnd w:id="27"/>
    <w:bookmarkEnd w:id="28"/>
    <w:sectPr>
      <w:footerReference r:id="rId7" w:type="default"/>
      <w:headerReference r:id="rId8" w:type="default"/>
      <w:pgSz w:h="16838" w:w="11906"/>
      <w:pgMar w:bottom="1440" w:footer="720" w:gutter="0" w:header="720" w:left="1440" w:right="1440" w:top="1440"/>
      <w:pgNumType w:fmt="decimal" w:start="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m="http://schemas.openxmlformats.org/officeDocument/2006/math"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charset w:val="00"/>
    <w:family w:val="roman"/>
    <w:pitch w:val="variable"/>
  </w:font>
  <w:font w:name="Arial">
    <w:charset w:val="00"/>
    <w:family w:val="swiss"/>
    <w:pitch w:val="variable"/>
  </w:font>
  <w:font w:name="Cambria Math">
    <w:charset w:val="00"/>
    <w:family w:val="roman"/>
    <w:pitch w:val="variable"/>
  </w:font>
  <w:font w:name="Calibri">
    <w:charset w:val="00"/>
    <w:family w:val="swiss"/>
    <w:pitch w:val="variable"/>
  </w:font>
  <w:font w:name="宋体">
    <w:altName w:val="SimSun"/>
    <w:charset w:val="86"/>
    <w:family w:val="auto"/>
    <w:pitch w:val="variable"/>
  </w:font>
  <w:font w:name="黑体">
    <w:altName w:val="SimHei"/>
    <w:charset w:val="86"/>
    <w:family w:val="auto"/>
    <w:pitch w:val="variable"/>
  </w:font>
  <w:font w:name="楷体">
    <w:altName w:val="KaiTi"/>
    <w:charset w:val="86"/>
    <w:family w:val="auto"/>
    <w:pitch w:val="variable"/>
  </w:font>
  <w:font w:name="仿宋">
    <w:altName w:val="FangSong"/>
    <w:charset w:val="86"/>
    <w:family w:val="auto"/>
    <w:pitch w:val="variable"/>
  </w:font>
  <w:font w:name="DengXian">
    <w:altName w:val="等线"/>
    <w:charset w:val="86"/>
    <w:family w:val="auto"/>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instrText xml:space="preserve">PAGE   \* MERGEFORMAT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企业级大模型与智能化技术评估报告</w:t>
    </w:r>
  </w:p>
</w:hdr>
</file>

<file path=word/numbering.xml><?xml version="1.0" encoding="utf-8"?>
<w:numbering xmlns:m="http://schemas.openxmlformats.org/officeDocument/2006/math"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bordersDoNotSurroundHeader/>
  <w:bordersDoNotSurroundFooter/>
  <w:proofState w:grammar="clean" w:spelling="clean"/>
  <w:stylePaneFormatFilter w:val="0004"/>
  <w:doNotTrackMoves/>
  <w:defaultTabStop w:val="420"/>
  <w:drawingGridHorizontalSpacing w:val="360"/>
  <w:drawingGridVerticalSpacing w:val="156"/>
  <w:displayHorizontalDrawingGridEvery w:val="0"/>
  <w:displayVerticalDrawingGridEvery w:val="2"/>
  <w:characterSpacingControl w:val="doNotCompress"/>
  <w:savePreviewPicture/>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s>
  <w:themeFontLang w:bidi="ar-SA"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sz w:val="24"/>
        <w:szCs w:val="24"/>
        <w:lang w:bidi="ar-SA" w:eastAsia="zh-CN" w:val="en-US"/>
      </w:rPr>
    </w:rPrDefault>
    <w:pPrDefault>
      <w:pPr>
        <w:spacing w:after="0" w:before="0" w:line="240" w:lineRule="auto"/>
      </w:pPr>
    </w:pPrDefault>
  </w:docDefaults>
  <w:latentStyles w:count="376" w:defLockedState="0" w:defQFormat="0" w:defSemiHidden="0" w:defUIPriority="99" w:defUnhideWhenUsed="0"/>
  <w:style w:default="1" w:styleId="Normal" w:type="paragraph">
    <w:name w:val="Normal"/>
    <w:qFormat/>
    <w:pPr>
      <w:spacing w:after="0" w:before="0" w:line="360" w:lineRule="auto"/>
      <w:ind w:firstLineChars="200"/>
      <w:jc w:val="both"/>
    </w:pPr>
    <w:rPr>
      <w:rFonts w:ascii="Times New Roman" w:eastAsia="宋体" w:hAnsi="Times New Roman"/>
      <w:b w:val="0"/>
      <w:i w:val="0"/>
      <w:color w:val="000000"/>
      <w:sz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 w:type="table">
    <w:name w:val="Table"/>
    <w:basedOn w:val="TableNormal"/>
    <w:tblPr>
      <w:jc w:val="center"/>
      <w:tblBorders>
        <w:top w:color="000000" w:space="0" w:sz="12" w:val="single"/>
        <w:bottom w:color="000000" w:space="0" w:sz="12" w:val="single"/>
        <w:left w:val="none"/>
        <w:right w:val="none"/>
        <w:insideH w:val="none"/>
        <w:insideV w:val="none"/>
      </w:tblBorders>
      <w:tblCellMar>
        <w:top w:type="dxa" w:w="0"/>
        <w:left w:type="dxa" w:w="0"/>
        <w:bottom w:type="dxa" w:w="0"/>
        <w:right w:type="dxa" w:w="0"/>
      </w:tblCellMar>
    </w:tblPr>
    <w:tblStylePr w:type="firstRow">
      <w:pPr>
        <w:spacing w:after="0" w:before="0" w:line="240" w:lineRule="auto"/>
        <w:ind w:firstLineChars="0"/>
        <w:jc w:val="center"/>
      </w:pPr>
      <w:rPr>
        <w:rFonts w:ascii="Times New Roman" w:eastAsia="宋体" w:hAnsi="Times New Roman"/>
        <w:b/>
        <w:i w:val="0"/>
        <w:color w:val="000000"/>
        <w:sz w:val="21"/>
      </w:rPr>
      <w:trPr>
        <w:tblHeader/>
      </w:trPr>
      <w:tcPr>
        <w:tcBorders>
          <w:bottom w:color="000000" w:space="0" w:sz="6" w:val="single"/>
        </w:tcBorders>
      </w:tcPr>
    </w:tblStylePr>
    <w:tblStylePr w:type="wholeTable">
      <w:tcPr>
        <w:vAlign w:val="center"/>
      </w:tcPr>
    </w:tblStylePr>
  </w:style>
  <w:style w:styleId="Header" w:type="paragraph">
    <w:name w:val="header"/>
    <w:basedOn w:val="Normal"/>
    <w:link w:val="HeaderChar"/>
    <w:qFormat/>
    <w:pPr>
      <w:pBdr>
        <w:bottom w:color="auto" w:space="1" w:sz="4" w:val="single"/>
      </w:pBdr>
      <w:spacing w:after="0" w:before="0" w:line="240" w:lineRule="auto"/>
      <w:ind w:firstLineChars="0"/>
      <w:jc w:val="right"/>
    </w:pPr>
    <w:rPr>
      <w:rFonts w:ascii="Times New Roman" w:eastAsia="宋体" w:hAnsi="Times New Roman"/>
      <w:b w:val="0"/>
      <w:i w:val="0"/>
      <w:color w:val="000000"/>
      <w:sz w:val="18"/>
    </w:rPr>
  </w:style>
  <w:style w:styleId="HeaderChar" w:type="character">
    <w:name w:val="Header Char"/>
    <w:basedOn w:val="DefaultParagraphFont"/>
    <w:link w:val="Header"/>
    <w:qFormat/>
    <w:rPr>
      <w:rFonts w:ascii="Times New Roman" w:eastAsia="宋体" w:hAnsi="Times New Roman"/>
      <w:b w:val="0"/>
      <w:i w:val="0"/>
      <w:color w:val="000000"/>
      <w:sz w:val="18"/>
    </w:rPr>
  </w:style>
  <w:style w:styleId="Footer" w:type="paragraph">
    <w:name w:val="footer"/>
    <w:basedOn w:val="Normal"/>
    <w:link w:val="FooterChar"/>
    <w:qFormat/>
    <w:pPr>
      <w:spacing w:after="0" w:before="0" w:line="240" w:lineRule="auto"/>
      <w:ind w:firstLineChars="0"/>
      <w:jc w:val="center"/>
    </w:pPr>
    <w:rPr>
      <w:rFonts w:ascii="Times New Roman" w:eastAsia="宋体" w:hAnsi="Times New Roman"/>
      <w:b w:val="0"/>
      <w:i w:val="0"/>
      <w:color w:val="000000"/>
      <w:sz w:val="18"/>
    </w:rPr>
  </w:style>
  <w:style w:styleId="FooterChar" w:type="character">
    <w:name w:val="Footer Char"/>
    <w:basedOn w:val="DefaultParagraphFont"/>
    <w:link w:val="Footer"/>
    <w:qFormat/>
    <w:rPr>
      <w:rFonts w:ascii="Times New Roman" w:eastAsia="宋体" w:hAnsi="Times New Roman"/>
      <w:b w:val="0"/>
      <w:i w:val="0"/>
      <w:color w:val="000000"/>
      <w:sz w:val="18"/>
    </w:rPr>
  </w:style>
  <w:style w:styleId="BodyText" w:type="paragraph">
    <w:name w:val="Body Text"/>
    <w:basedOn w:val="Normal"/>
    <w:link w:val="BodyTextChar"/>
    <w:qFormat/>
    <w:pPr>
      <w:spacing w:after="0" w:before="0" w:line="360" w:lineRule="auto"/>
      <w:ind w:firstLineChars="200"/>
      <w:jc w:val="both"/>
    </w:pPr>
    <w:rPr>
      <w:rFonts w:ascii="Times New Roman" w:eastAsia="宋体" w:hAnsi="Times New Roman"/>
      <w:b w:val="0"/>
      <w:i w:val="0"/>
      <w:color w:val="000000"/>
      <w:sz w:val="24"/>
    </w:rPr>
  </w:style>
  <w:style w:styleId="BodyTextChar" w:type="character">
    <w:name w:val="Body Text Char"/>
    <w:basedOn w:val="DefaultParagraphFont"/>
    <w:link w:val="BodyText"/>
    <w:qFormat/>
    <w:rPr>
      <w:rFonts w:ascii="Times New Roman" w:eastAsia="宋体" w:hAnsi="Times New Roman"/>
      <w:b w:val="0"/>
      <w:i w:val="0"/>
      <w:color w:val="000000"/>
      <w:sz w:val="24"/>
    </w:rPr>
  </w:style>
  <w:style w:styleId="Quote" w:type="paragraph">
    <w:name w:val="Quote"/>
    <w:basedOn w:val="Normal"/>
    <w:link w:val="QuoteChar"/>
    <w:qFormat/>
  </w:style>
  <w:style w:styleId="QuoteChar" w:type="character">
    <w:name w:val="Quote Char"/>
    <w:basedOn w:val="DefaultParagraphFont"/>
    <w:link w:val="Quote"/>
    <w:qFormat/>
  </w:style>
  <w:style w:styleId="IntenseQuote" w:type="paragraph">
    <w:name w:val="Intense Quote"/>
    <w:basedOn w:val="Normal"/>
    <w:link w:val="IntenseQuoteChar"/>
    <w:qFormat/>
  </w:style>
  <w:style w:styleId="IntenseQuoteChar" w:type="character">
    <w:name w:val="IntenseQuote Char"/>
    <w:basedOn w:val="DefaultParagraphFont"/>
    <w:link w:val="IntenseQuote"/>
    <w:qFormat/>
  </w:style>
  <w:style w:styleId="Heading1" w:type="paragraph">
    <w:name w:val="heading 1"/>
    <w:basedOn w:val="Normal"/>
    <w:next w:val="Normal"/>
    <w:link w:val="Heading1Char"/>
    <w:qFormat/>
    <w:pPr>
      <w:keepNext/>
      <w:keepLines/>
      <w:spacing w:after="240" w:before="360" w:line="360" w:lineRule="auto"/>
      <w:ind w:firstLineChars="0"/>
      <w:jc w:val="center"/>
      <w:outlineLvl w:val="0"/>
    </w:pPr>
    <w:rPr>
      <w:rFonts w:ascii="Times New Roman" w:eastAsia="黑体" w:hAnsi="Times New Roman"/>
      <w:b/>
      <w:bCs/>
      <w:i w:val="0"/>
      <w:color w:val="000000"/>
      <w:sz w:val="32"/>
      <w:szCs w:val="32"/>
    </w:rPr>
  </w:style>
  <w:style w:styleId="Heading1Char" w:type="character">
    <w:name w:val="Heading 1 Char"/>
    <w:basedOn w:val="DefaultParagraphFont"/>
    <w:link w:val="Heading1"/>
    <w:qFormat/>
    <w:rPr>
      <w:rFonts w:ascii="Times New Roman" w:eastAsia="黑体" w:hAnsi="Times New Roman"/>
      <w:b/>
      <w:bCs/>
      <w:i w:val="0"/>
      <w:color w:val="000000"/>
      <w:sz w:val="32"/>
      <w:szCs w:val="32"/>
    </w:rPr>
  </w:style>
  <w:style w:styleId="Heading2" w:type="paragraph">
    <w:name w:val="heading 2"/>
    <w:basedOn w:val="Normal"/>
    <w:next w:val="Normal"/>
    <w:link w:val="Heading2Char"/>
    <w:qFormat/>
    <w:pPr>
      <w:keepNext/>
      <w:keepLines/>
      <w:spacing w:after="120" w:before="240" w:line="360" w:lineRule="auto"/>
      <w:ind w:firstLineChars="0"/>
      <w:jc w:val="left"/>
      <w:outlineLvl w:val="1"/>
    </w:pPr>
    <w:rPr>
      <w:rFonts w:ascii="Times New Roman" w:eastAsia="黑体" w:hAnsi="Times New Roman"/>
      <w:b/>
      <w:bCs/>
      <w:i w:val="0"/>
      <w:color w:val="000000"/>
      <w:sz w:val="28"/>
      <w:szCs w:val="28"/>
    </w:rPr>
  </w:style>
  <w:style w:styleId="Heading2Char" w:type="character">
    <w:name w:val="Heading 2 Char"/>
    <w:basedOn w:val="DefaultParagraphFont"/>
    <w:link w:val="Heading2"/>
    <w:qFormat/>
    <w:rPr>
      <w:rFonts w:ascii="Times New Roman" w:eastAsia="黑体" w:hAnsi="Times New Roman"/>
      <w:b/>
      <w:bCs/>
      <w:i w:val="0"/>
      <w:color w:val="000000"/>
      <w:sz w:val="28"/>
      <w:szCs w:val="28"/>
    </w:rPr>
  </w:style>
  <w:style w:styleId="Heading3" w:type="paragraph">
    <w:name w:val="heading 3"/>
    <w:basedOn w:val="Normal"/>
    <w:next w:val="Normal"/>
    <w:link w:val="Heading3Char"/>
    <w:qFormat/>
    <w:pPr>
      <w:keepNext/>
      <w:keepLines/>
      <w:spacing w:after="0" w:before="120" w:line="360" w:lineRule="auto"/>
      <w:ind w:firstLineChars="0"/>
      <w:jc w:val="left"/>
      <w:outlineLvl w:val="2"/>
    </w:pPr>
    <w:rPr>
      <w:rFonts w:ascii="Times New Roman" w:eastAsia="黑体" w:hAnsi="Times New Roman"/>
      <w:b/>
      <w:bCs/>
      <w:i w:val="0"/>
      <w:color w:val="000000"/>
      <w:sz w:val="24"/>
    </w:rPr>
  </w:style>
  <w:style w:styleId="Heading3Char" w:type="character">
    <w:name w:val="Heading 3 Char"/>
    <w:basedOn w:val="DefaultParagraphFont"/>
    <w:link w:val="Heading3"/>
    <w:qFormat/>
    <w:rPr>
      <w:rFonts w:ascii="Times New Roman" w:eastAsia="黑体" w:hAnsi="Times New Roman"/>
      <w:b/>
      <w:bCs/>
      <w:i w:val="0"/>
      <w:color w:val="000000"/>
      <w:sz w:val="24"/>
    </w:rPr>
  </w:style>
  <w:style w:styleId="Heading4" w:type="paragraph">
    <w:name w:val="heading 4"/>
    <w:basedOn w:val="Normal"/>
    <w:next w:val="Normal"/>
    <w:link w:val="Heading4Char"/>
    <w:qFormat/>
    <w:pPr>
      <w:keepNext/>
      <w:keepLines/>
      <w:outlineLvl w:val="3"/>
    </w:pPr>
    <w:rPr>
      <w:b/>
      <w:bCs/>
      <w:i/>
      <w:iCs/>
      <w:color w:val="000000"/>
    </w:rPr>
  </w:style>
  <w:style w:styleId="Heading4Char" w:type="character">
    <w:name w:val="Heading 4 Char"/>
    <w:basedOn w:val="DefaultParagraphFont"/>
    <w:link w:val="Heading4"/>
    <w:qFormat/>
    <w:rPr>
      <w:b/>
      <w:bCs/>
      <w:i/>
      <w:iCs/>
      <w:color w:val="000000"/>
    </w:rPr>
  </w:style>
  <w:style w:styleId="Heading5" w:type="paragraph">
    <w:name w:val="heading 5"/>
    <w:basedOn w:val="Normal"/>
    <w:next w:val="Normal"/>
    <w:link w:val="Heading5Char"/>
    <w:qFormat/>
    <w:pPr>
      <w:keepNext/>
      <w:keepLines/>
      <w:outlineLvl w:val="4"/>
    </w:pPr>
  </w:style>
  <w:style w:styleId="Heading5Char" w:type="character">
    <w:name w:val="Heading 5 Char"/>
    <w:basedOn w:val="DefaultParagraphFont"/>
    <w:link w:val="Heading5"/>
    <w:qFormat/>
  </w:style>
  <w:style w:styleId="Heading6" w:type="paragraph">
    <w:name w:val="heading 6"/>
    <w:basedOn w:val="Normal"/>
    <w:next w:val="Normal"/>
    <w:link w:val="Heading6Char"/>
    <w:qFormat/>
    <w:pPr>
      <w:keepNext/>
      <w:keepLines/>
      <w:outlineLvl w:val="5"/>
    </w:pPr>
    <w:rPr>
      <w:i/>
      <w:iCs/>
      <w:color w:val="000000"/>
    </w:rPr>
  </w:style>
  <w:style w:styleId="Heading6Char" w:type="character">
    <w:name w:val="Heading 6 Char"/>
    <w:basedOn w:val="DefaultParagraphFont"/>
    <w:link w:val="Heading6"/>
    <w:qFormat/>
    <w:rPr>
      <w:i/>
      <w:iCs/>
      <w:color w:val="000000"/>
    </w:rPr>
  </w:style>
  <w:style w:styleId="Heading7" w:type="paragraph">
    <w:name w:val="heading 7"/>
    <w:basedOn w:val="Normal"/>
    <w:next w:val="Normal"/>
    <w:link w:val="Heading7Char"/>
    <w:qFormat/>
    <w:pPr>
      <w:keepNext/>
      <w:keepLines/>
      <w:outlineLvl w:val="6"/>
    </w:pPr>
    <w:rPr>
      <w:i/>
      <w:iCs/>
      <w:color w:val="000000"/>
    </w:rPr>
  </w:style>
  <w:style w:styleId="Heading7Char" w:type="character">
    <w:name w:val="Heading 7 Char"/>
    <w:basedOn w:val="DefaultParagraphFont"/>
    <w:link w:val="Heading7"/>
    <w:qFormat/>
    <w:rPr>
      <w:i/>
      <w:iCs/>
      <w:color w:val="000000"/>
    </w:rPr>
  </w:style>
  <w:style w:styleId="Heading8" w:type="paragraph">
    <w:name w:val="heading 8"/>
    <w:basedOn w:val="Normal"/>
    <w:next w:val="Normal"/>
    <w:link w:val="Heading8Char"/>
    <w:qFormat/>
    <w:pPr>
      <w:keepNext/>
      <w:keepLines/>
      <w:outlineLvl w:val="7"/>
    </w:pPr>
    <w:rPr>
      <w:color w:val="000000"/>
      <w:sz w:val="20"/>
      <w:szCs w:val="20"/>
    </w:rPr>
  </w:style>
  <w:style w:styleId="Heading8Char" w:type="character">
    <w:name w:val="Heading 8 Char"/>
    <w:basedOn w:val="DefaultParagraphFont"/>
    <w:link w:val="Heading8"/>
    <w:qFormat/>
    <w:rPr>
      <w:color w:val="000000"/>
      <w:sz w:val="20"/>
      <w:szCs w:val="20"/>
    </w:rPr>
  </w:style>
  <w:style w:styleId="Heading9" w:type="paragraph">
    <w:name w:val="heading 9"/>
    <w:basedOn w:val="Normal"/>
    <w:next w:val="Normal"/>
    <w:link w:val="Heading9Char"/>
    <w:qFormat/>
    <w:pPr>
      <w:keepNext/>
      <w:keepLines/>
      <w:outlineLvl w:val="8"/>
    </w:pPr>
    <w:rPr>
      <w:i/>
      <w:iCs/>
      <w:color w:val="000000"/>
      <w:sz w:val="20"/>
      <w:szCs w:val="20"/>
    </w:rPr>
  </w:style>
  <w:style w:styleId="Heading9Char" w:type="character">
    <w:name w:val="Heading 9 Char"/>
    <w:basedOn w:val="DefaultParagraphFont"/>
    <w:link w:val="Heading9"/>
    <w:qFormat/>
    <w:rPr>
      <w:i/>
      <w:iCs/>
      <w:color w:val="000000"/>
      <w:sz w:val="20"/>
      <w:szCs w:val="20"/>
    </w:rPr>
  </w:style>
  <w:style w:styleId="Title" w:type="paragraph">
    <w:name w:val="Title"/>
    <w:basedOn w:val="Normal"/>
    <w:next w:val="Normal"/>
    <w:link w:val="TitleChar"/>
    <w:qFormat/>
    <w:pPr>
      <w:spacing w:after="240" w:before="0" w:line="360" w:lineRule="auto"/>
      <w:ind w:firstLineChars="0"/>
      <w:jc w:val="center"/>
    </w:pPr>
    <w:rPr>
      <w:rFonts w:ascii="Times New Roman" w:eastAsia="黑体" w:hAnsi="Times New Roman"/>
      <w:b/>
      <w:i w:val="0"/>
      <w:color w:val="000000"/>
      <w:sz w:val="44"/>
      <w:szCs w:val="44"/>
    </w:rPr>
  </w:style>
  <w:style w:styleId="TitleChar" w:type="character">
    <w:name w:val="Title Char"/>
    <w:basedOn w:val="DefaultParagraphFont"/>
    <w:link w:val="Title"/>
    <w:qFormat/>
    <w:rPr>
      <w:rFonts w:ascii="Times New Roman" w:eastAsia="黑体" w:hAnsi="Times New Roman"/>
      <w:b/>
      <w:i w:val="0"/>
      <w:color w:val="000000"/>
      <w:sz w:val="44"/>
      <w:szCs w:val="44"/>
    </w:rPr>
  </w:style>
  <w:style w:styleId="Subtitle" w:type="paragraph">
    <w:name w:val="Subtitle"/>
    <w:basedOn w:val="Normal"/>
    <w:next w:val="Normal"/>
    <w:link w:val="SubtitleChar"/>
    <w:qFormat/>
    <w:rPr>
      <w:i/>
      <w:iCs/>
      <w:color w:val="000000"/>
      <w:sz w:val="24"/>
      <w:szCs w:val="24"/>
    </w:rPr>
  </w:style>
  <w:style w:styleId="SubtitleChar" w:type="character">
    <w:name w:val="Subtitle Char"/>
    <w:basedOn w:val="DefaultParagraphFont"/>
    <w:link w:val="Subtitle"/>
    <w:qFormat/>
    <w:rPr>
      <w:i/>
      <w:iCs/>
      <w:color w:val="000000"/>
      <w:sz w:val="24"/>
      <w:szCs w:val="24"/>
    </w:rPr>
  </w:style>
  <w:style w:styleId="Author" w:type="paragraph">
    <w:name w:val="Author"/>
    <w:basedOn w:val="Normal"/>
    <w:qFormat/>
  </w:style>
  <w:style w:styleId="Date" w:type="paragraph">
    <w:name w:val="Date"/>
    <w:basedOn w:val="Normal"/>
    <w:qFormat/>
  </w:style>
  <w:style w:styleId="Abstract" w:type="paragraph">
    <w:name w:val="Abstract"/>
    <w:basedOn w:val="Normal"/>
    <w:qFormat/>
    <w:pPr>
      <w:spacing w:after="120" w:before="0" w:line="360" w:lineRule="auto"/>
      <w:ind w:firstLineChars="200"/>
      <w:jc w:val="both"/>
    </w:pPr>
    <w:rPr>
      <w:rFonts w:ascii="Times New Roman" w:eastAsia="宋体" w:hAnsi="Times New Roman"/>
      <w:b w:val="0"/>
      <w:i w:val="0"/>
      <w:color w:val="000000"/>
      <w:sz w:val="24"/>
    </w:rPr>
  </w:style>
  <w:style w:styleId="Keywords" w:type="paragraph">
    <w:name w:val="Keywords"/>
    <w:basedOn w:val="Normal"/>
    <w:qFormat/>
    <w:pPr>
      <w:spacing w:after="240" w:before="0" w:line="360" w:lineRule="auto"/>
      <w:ind w:firstLineChars="0"/>
      <w:jc w:val="both"/>
    </w:pPr>
    <w:rPr>
      <w:rFonts w:ascii="Times New Roman" w:eastAsia="宋体" w:hAnsi="Times New Roman"/>
      <w:b w:val="0"/>
      <w:i w:val="0"/>
      <w:color w:val="000000"/>
      <w:sz w:val="24"/>
    </w:rPr>
  </w:style>
  <w:style w:styleId="FirstParagraph" w:type="paragraph">
    <w:name w:val="First Paragraph"/>
    <w:basedOn w:val="BodyText"/>
    <w:qFormat/>
    <w:pPr>
      <w:spacing w:after="0" w:before="0" w:line="360" w:lineRule="auto"/>
      <w:ind w:firstLineChars="200"/>
      <w:jc w:val="both"/>
    </w:pPr>
    <w:rPr>
      <w:rFonts w:ascii="Times New Roman" w:eastAsia="宋体" w:hAnsi="Times New Roman"/>
      <w:b w:val="0"/>
      <w:i w:val="0"/>
      <w:color w:val="000000"/>
      <w:sz w:val="24"/>
    </w:rPr>
  </w:style>
  <w:style w:styleId="Compact" w:type="paragraph">
    <w:name w:val="Compact"/>
    <w:basedOn w:val="Normal"/>
    <w:qFormat/>
    <w:pPr>
      <w:spacing w:after="0" w:before="0" w:line="240" w:lineRule="auto"/>
      <w:ind w:firstLineChars="0"/>
      <w:jc w:val="center"/>
    </w:pPr>
    <w:rPr>
      <w:rFonts w:ascii="Times New Roman" w:eastAsia="宋体" w:hAnsi="Times New Roman"/>
      <w:b w:val="0"/>
      <w:i w:val="0"/>
      <w:color w:val="000000"/>
      <w:sz w:val="21"/>
    </w:rPr>
  </w:style>
  <w:style w:styleId="ListParagraph" w:type="paragraph">
    <w:name w:val="List Paragraph"/>
    <w:basedOn w:val="Normal"/>
    <w:qFormat/>
  </w:style>
  <w:style w:styleId="BlockText" w:type="paragraph">
    <w:name w:val="Block Text"/>
    <w:basedOn w:val="Normal"/>
    <w:qFormat/>
  </w:style>
  <w:style w:styleId="SourceCode" w:type="paragraph">
    <w:name w:val="Source Code"/>
    <w:basedOn w:val="Normal"/>
    <w:qFormat/>
  </w:style>
  <w:style w:styleId="TOCHeading" w:type="paragraph">
    <w:name w:val="TOC Heading"/>
    <w:basedOn w:val="Normal"/>
    <w:qFormat/>
  </w:style>
  <w:style w:styleId="Caption" w:type="paragraph">
    <w:name w:val="caption"/>
    <w:basedOn w:val="Normal"/>
    <w:qFormat/>
    <w:rPr>
      <w:i w:val="0"/>
    </w:rPr>
  </w:style>
  <w:style w:styleId="TableCaption" w:type="paragraph">
    <w:name w:val="Table Caption"/>
    <w:basedOn w:val="Normal"/>
    <w:qFormat/>
    <w:pPr>
      <w:keepNext/>
      <w:spacing w:after="120" w:before="120" w:line="360" w:lineRule="auto"/>
      <w:ind w:firstLineChars="0"/>
      <w:jc w:val="center"/>
    </w:pPr>
    <w:rPr>
      <w:rFonts w:ascii="Times New Roman" w:eastAsia="宋体" w:hAnsi="Times New Roman"/>
      <w:b/>
      <w:i w:val="0"/>
      <w:color w:val="000000"/>
      <w:sz w:val="21"/>
    </w:rPr>
  </w:style>
  <w:style w:styleId="ImageCaption" w:type="paragraph">
    <w:name w:val="Image Caption"/>
    <w:basedOn w:val="Normal"/>
    <w:qFormat/>
    <w:pPr>
      <w:spacing w:after="120" w:before="120" w:line="360" w:lineRule="auto"/>
      <w:ind w:firstLineChars="0"/>
      <w:jc w:val="center"/>
    </w:pPr>
    <w:rPr>
      <w:rFonts w:ascii="Times New Roman" w:eastAsia="宋体" w:hAnsi="Times New Roman"/>
      <w:b/>
      <w:i w:val="0"/>
      <w:color w:val="000000"/>
      <w:sz w:val="21"/>
    </w:rPr>
  </w:style>
  <w:style w:styleId="Figure" w:type="paragraph">
    <w:name w:val="Figure"/>
    <w:basedOn w:val="Normal"/>
    <w:qFormat/>
    <w:pPr>
      <w:jc w:val="center"/>
    </w:pPr>
  </w:style>
  <w:style w:styleId="CaptionedFigure" w:type="paragraph">
    <w:name w:val="Captioned Figure"/>
    <w:basedOn w:val="Normal"/>
    <w:qFormat/>
    <w:pPr>
      <w:keepNext/>
      <w:spacing w:after="0" w:before="120" w:line="240" w:lineRule="auto"/>
      <w:ind w:firstLineChars="0"/>
      <w:jc w:val="center"/>
    </w:pPr>
    <w:rPr>
      <w:rFonts w:ascii="Times New Roman" w:eastAsia="宋体" w:hAnsi="Times New Roman"/>
      <w:b w:val="0"/>
      <w:i w:val="0"/>
      <w:color w:val="000000"/>
      <w:sz w:val="21"/>
    </w:rPr>
  </w:style>
  <w:style w:styleId="TableNote" w:type="paragraph">
    <w:name w:val="Table Note"/>
    <w:basedOn w:val="Normal"/>
    <w:qFormat/>
    <w:pPr>
      <w:spacing w:after="120" w:before="0" w:line="240" w:lineRule="auto"/>
      <w:ind w:firstLineChars="0"/>
      <w:jc w:val="center"/>
    </w:pPr>
    <w:rPr>
      <w:rFonts w:ascii="Times New Roman" w:eastAsia="宋体" w:hAnsi="Times New Roman"/>
      <w:b w:val="0"/>
      <w:i w:val="0"/>
      <w:color w:val="000000"/>
      <w:sz w:val="18"/>
    </w:rPr>
  </w:style>
  <w:style w:styleId="Bibliography" w:type="paragraph">
    <w:name w:val="Bibliography"/>
    <w:basedOn w:val="Normal"/>
    <w:qFormat/>
    <w:pPr>
      <w:spacing w:after="60" w:before="0" w:line="300" w:lineRule="auto"/>
      <w:ind w:firstLineChars="0" w:hanging="720" w:left="720"/>
      <w:jc w:val="both"/>
    </w:pPr>
    <w:rPr>
      <w:rFonts w:ascii="Times New Roman" w:hAnsi="Times New Roman"/>
      <w:b w:val="0"/>
      <w:i w:val="0"/>
      <w:color w:val="000000"/>
      <w:sz w:val="21"/>
    </w:rPr>
  </w:style>
  <w:style w:styleId="FootnoteText" w:type="paragraph">
    <w:name w:val="Footnote Text"/>
    <w:basedOn w:val="Normal"/>
    <w:qFormat/>
    <w:pPr>
      <w:spacing w:after="0" w:before="0" w:line="240" w:lineRule="auto"/>
      <w:ind w:firstLineChars="0"/>
      <w:jc w:val="both"/>
    </w:pPr>
    <w:rPr>
      <w:rFonts w:ascii="Times New Roman" w:eastAsia="宋体" w:hAnsi="Times New Roman"/>
      <w:b w:val="0"/>
      <w:i w:val="0"/>
      <w:color w:val="000000"/>
      <w:sz w:val="21"/>
    </w:rPr>
  </w:style>
  <w:style w:styleId="FootnoteBlockText" w:type="paragraph">
    <w:name w:val="Footnote Block Text"/>
    <w:basedOn w:val="FootnoteText"/>
    <w:qFormat/>
  </w:style>
  <w:style w:styleId="DefinitionTerm" w:type="paragraph">
    <w:name w:val="Definition Term"/>
    <w:basedOn w:val="Normal"/>
    <w:qFormat/>
  </w:style>
  <w:style w:styleId="Definition" w:type="paragraph">
    <w:name w:val="Definition"/>
    <w:basedOn w:val="Normal"/>
    <w:qFormat/>
  </w:style>
  <w:style w:styleId="VerbatimChar" w:type="character">
    <w:name w:val="Verbatim Char"/>
    <w:basedOn w:val="DefaultParagraphFont"/>
    <w:qFormat/>
  </w:style>
  <w:style w:styleId="SectionNumber" w:type="character">
    <w:name w:val="Section Number"/>
    <w:basedOn w:val="DefaultParagraphFont"/>
    <w:qFormat/>
  </w:style>
  <w:style w:styleId="FootnoteReference" w:type="character">
    <w:name w:val="Footnote Reference"/>
    <w:basedOn w:val="DefaultParagraphFont"/>
    <w:qFormat/>
    <w:rPr>
      <w:vertAlign w:val="superscript"/>
    </w:rPr>
  </w:style>
  <w:style w:styleId="Strong" w:type="character">
    <w:name w:val="Strong"/>
    <w:basedOn w:val="DefaultParagraphFont"/>
    <w:qFormat/>
    <w:rPr>
      <w:b/>
      <w:bCs/>
      <w:color w:val="000000"/>
    </w:rPr>
  </w:style>
  <w:style w:styleId="Emphasis" w:type="character">
    <w:name w:val="Emphasis"/>
    <w:basedOn w:val="DefaultParagraphFont"/>
    <w:qFormat/>
    <w:rPr>
      <w:i/>
      <w:iCs/>
      <w:color w:val="000000"/>
    </w:rPr>
  </w:style>
  <w:style w:styleId="Hyperlink" w:type="character">
    <w:name w:val="Hyperlink"/>
    <w:basedOn w:val="DefaultParagraphFont"/>
    <w:qFormat/>
    <w:rPr>
      <w:color w:val="000000"/>
      <w:u w:val="none"/>
    </w:rPr>
  </w:style>
  <w:style w:customStyle="1" w:styleId="AbstractTitle" w:type="paragraph">
    <w:name w:val="Abstract Title"/>
    <w:basedOn w:val="Normal"/>
    <w:pPr>
      <w:spacing w:after="120" w:before="120" w:line="360" w:lineRule="auto"/>
      <w:ind w:firstLineChars="0"/>
      <w:jc w:val="center"/>
    </w:pPr>
    <w:rPr>
      <w:rFonts w:ascii="Times New Roman" w:eastAsia="黑体" w:hAnsi="Times New Roman"/>
      <w:b/>
      <w:i w:val="0"/>
      <w:color w:val="000000"/>
      <w:sz w:val="28"/>
    </w:rPr>
  </w:style>
  <w:style w:customStyle="1" w:styleId="ReferencesTitle" w:type="paragraph">
    <w:name w:val="References Title"/>
    <w:basedOn w:val="Normal"/>
    <w:pPr>
      <w:keepNext/>
      <w:spacing w:after="240" w:before="360" w:line="360" w:lineRule="auto"/>
      <w:ind w:firstLineChars="0"/>
      <w:jc w:val="center"/>
    </w:pPr>
    <w:rPr>
      <w:rFonts w:ascii="Times New Roman" w:eastAsia="黑体" w:hAnsi="Times New Roman"/>
      <w:b/>
      <w:i w:val="0"/>
      <w:color w:val="000000"/>
      <w:sz w:val="3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m="http://schemas.openxmlformats.org/officeDocument/2006/math"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doNotSaveAsSingleFile/>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7" Target="footer1.xml" Type="http://schemas.openxmlformats.org/officeDocument/2006/relationships/footer" /><Relationship Id="rId8" Target="header1.xml" Type="http://schemas.openxmlformats.org/officeDocument/2006/relationships/header"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Hans" typeface="黑体"/>
      </a:majorFont>
      <a:minorFont>
        <a:latin typeface="Times New Roman"/>
        <a:ea typeface=""/>
        <a:cs typeface=""/>
        <a:font script="Hans" typeface="宋体"/>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新一代企业级通用人工智能基础设施演进与效能评估</dc:title>
  <dc:creator/>
  <cp:keywords/>
  <dcterms:created xsi:type="dcterms:W3CDTF">2026-10-10T09:18:11Z</dcterms:created>
  <dcterms:modified xsi:type="dcterms:W3CDTF">2026-10-10T09:18:11Z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rossref">
    <vt:lpwstr/>
  </property>
  <property fmtid="{D5CDD505-2E9C-101B-9397-08002B2CF9AE}" pid="5" name="csl">
    <vt:lpwstr>/Users/liusong/Desktop/md-to-word/resources/csl/apa.csl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