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w:t>
      </w:r>
      <w:hyperlink w:anchor="ref-chacon2014">
        <w:r>
          <w:rPr>
            <w:rStyle w:val="Hyperlink"/>
          </w:rPr>
          <w:t xml:space="preserve">Chacon &amp; Straub, 2014</w:t>
        </w:r>
      </w:hyperlink>
      <w:r>
        <w:t xml:space="preserve">)</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w:t>
      </w:r>
      <w:hyperlink w:anchor="ref-fowler2006">
        <w:r>
          <w:rPr>
            <w:rStyle w:val="Hyperlink"/>
          </w:rPr>
          <w:t xml:space="preserve">Fowler &amp; Foemmel, 2006</w:t>
        </w:r>
      </w:hyperlink>
      <w:r>
        <w:t xml:space="preserve">)</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w:t>
      </w:r>
      <w:hyperlink w:anchor="ref-bass2015">
        <w:r>
          <w:rPr>
            <w:rStyle w:val="Hyperlink"/>
          </w:rPr>
          <w:t xml:space="preserve">Bass et al., 2015</w:t>
        </w:r>
      </w:hyperlink>
      <w:r>
        <w:t xml:space="preserve">)</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CaptionedFigure"/>
      </w:pPr>
      <w:r>
        <w:drawing>
          <wp:inline>
            <wp:extent cx="4679999" cy="2183999"/>
            <wp:effectExtent b="0" l="0" r="0" t="0"/>
            <wp:docPr descr="图 1 同一稿件连续五次导出的端到端耗时（实测）"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dxa" w:w="9026"/>
        <w:tblLayout w:type="fixed"/>
        <w:tblLook w:firstRow="1" w:lastRow="0" w:firstColumn="0" w:lastColumn="0" w:noHBand="0" w:noVBand="0" w:val="0020"/>
      </w:tblPr>
      <w:tblGrid>
        <w:gridCol w:w="3048"/>
        <w:gridCol w:w="2579"/>
        <w:gridCol w:w="3399"/>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2026-10-11T05:41:49Z</dcterms:created>
  <dcterms:modified xsi:type="dcterms:W3CDTF">2026-10-11T05:41:49Z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