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by a geometric mean of 107 times; partitioning, conversely, gives non-overlapping coverage useful for proving unsatisfiability. Isolating the mechanism itself, holding solver and grid fixed, shows a consistent win on moderate-difficulty grids but higher variance rather than a reliable one on the hardest instances, reported honestly alongside the positive result. A further negative result: five plausible branching heuristics produced identical output because a domain-size precondition meant none of them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or puzzles section editor, automated filling tools frequently bottleneck on wide-open grid sections, significantly slowing the iterative design process for daily publications.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 that makes it worth measuring.</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versus this specific mechanism within it) 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by sharing learnt clauses (assignments proven infeasible) and objective bounds between workers, 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it again did not recover that grid either, since ordinary restart workers’ own search order was redirected by the shared signal itself, not solely by the dedicated worker’s presence in it.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run against real multi-threaded solves, reports no unsafe concurrent access.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a freely available public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this is reported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 The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orca-solver missing from a panel means every one of its 7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 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allowing a direct test of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resolved 19, orca-solver 18, ingrid_core 17, and crossword-composer, a real, unmodified, independently authored solver and not a strawman built to lose, only 9.</w:t>
      </w:r>
    </w:p>
    <w:bookmarkStart w:id="29" w:name="tab:outcomes"/>
    <w:p>
      <w:pPr>
        <w:pStyle w:val="TableCaption"/>
      </w:pPr>
      <w:r>
        <w:t xml:space="preserve">Solve Outcomes Across All 20 Grids, 1000s Cap</w:t>
      </w:r>
    </w:p>
    <w:tbl>
      <w:tblPr>
        <w:tblStyle w:val="Table"/>
        <w:tblW w:type="auto" w:w="0"/>
        <w:tblLook w:firstRow="1" w:lastRow="0" w:firstColumn="0" w:lastColumn="0" w:noHBand="0" w:noVBand="0" w:val="0020"/>
        <w:tblCaption w:val="Solve Outcomes Across All 20 Grids, 1000s Cap"/>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Resolved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realistic grid and dictionary sizes, restarts, adaptive heuristics, and parallelism are not optional refinements, but the premise the rest of this section, and this paper’s mechanism, depend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The negative result in Section </w:t>
      </w:r>
      <w:hyperlink w:anchor="sec:negative">
        <w:r>
          <w:rPr>
            <w:rStyle w:val="Hyperlink"/>
          </w:rPr>
          <w:t xml:space="preserve">4</w:t>
        </w:r>
      </w:hyperlink>
      <w:r>
        <w:t xml:space="preserve"> </w:t>
      </w:r>
      <w:r>
        <w:t xml:space="preserve">follows the same discipline. Five branching heuristics looked interchangeable only because none of them ever executed on the grid that motivated them, a gap direct instrumentation closed but a benchmark-score comparison alone would have missed. The same standard applies to Section </w:t>
      </w:r>
      <w:hyperlink w:anchor="sec:ablation">
        <w:r>
          <w:rPr>
            <w:rStyle w:val="Hyperlink"/>
          </w:rPr>
          <w:t xml:space="preserve">5.2</w:t>
        </w:r>
      </w:hyperlink>
      <w:r>
        <w:t xml:space="preserve">’s ablation: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single external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implementation of that approach. Both principal solvers are actively developed; exact commit hashes are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Sudoku, or job-shop scheduling (assigning factory jobs to machines and time slots without conflicts), where a wdeg-style solver already exists and only the shared-weight array would need to be added. This could significantly accelerate resource-constrained scheduling tasks without requiring heavy synchronization overhead. It could also broaden the architectural comparison beyond orca-solver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The author used Claude Code (Anthropic), an AI coding assistant, to help build this project. The author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720–734.</w:t>
      </w:r>
    </w:p>
    <w:p>
      <w:pPr>
        <w:pStyle w:val="BodyText"/>
      </w:pPr>
      <w:r>
        <w:t xml:space="preserve">I. P. Gent, I. Miguel, P. Nightingale, C. McCreesh, P. Prosser, N. C. A.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Spreadthewordlist.com. 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S. Szuflita.</w:t>
      </w:r>
      <w:r>
        <w:t xml:space="preserve"> </w:t>
      </w:r>
      <w:r>
        <w:rPr>
          <w:i/>
          <w:iCs/>
        </w:rPr>
        <w:t xml:space="preserve">ingrid</w:t>
      </w:r>
      <w:r>
        <w:t xml:space="preserve">. (2026). Accessed: Aug. 5, 2026. [Online]. Available:</w:t>
      </w:r>
      <w:r>
        <w:t xml:space="preserve"> </w:t>
      </w:r>
      <w:hyperlink r:id="rId43">
        <w:r>
          <w:rPr>
            <w:rStyle w:val="Hyperlink"/>
          </w:rPr>
          <w:t xml:space="preserve">https://github.com/szunami/ingrid</w:t>
        </w:r>
      </w:hyperlink>
    </w:p>
    <w:p>
      <w:pPr>
        <w:pStyle w:val="BodyText"/>
      </w:pPr>
      <w:r>
        <w:t xml:space="preserve">P. Butler.</w:t>
      </w:r>
      <w:r>
        <w:t xml:space="preserve"> </w:t>
      </w:r>
      <w:r>
        <w:rPr>
          <w:i/>
          <w:iCs/>
        </w:rPr>
        <w:t xml:space="preserve">crossword-composer</w:t>
      </w:r>
      <w:r>
        <w:t xml:space="preserve">. (2026). Commit 5655a3b.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szunami/ingrid"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szunami/ingrid"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2026-08-09T01:05:30Z</dcterms:created>
  <dcterms:modified xsi:type="dcterms:W3CDTF">2026-08-09T01:05:30Z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by a geometric mean of 107 times; partitioning, conversely, gives non-overlapping coverage useful for proving unsatisfiability. Isolating the mechanism itself, holding solver and grid fixed, shows a consistent win on moderate-difficulty grids but higher variance rather than a reliable one on the hardest instances, reported honestly alongside the positive result. A further negative result: five plausible branching heuristics produced identical output because a domain-size precondition meant none of them ever executed, caught only by direct instrumentation, not benchmark comparison.</vt:lpwstr>
  </property>
</Properties>
</file>