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by a geometric mean of 107 times. Partitioning, conversely, gives non-overlapping coverage useful for proving unsatisfiability. Isolating the mechanism itself, holding solver and grid fixed, shows a consistent win on moderate-difficulty grids but higher variance rather than a reliable one on the hardest instances, reported honestly alongside the positive result. A further negative result: five plausible branching heuristics produced identical output because a domain-size precondition meant none of them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 In the practical workflow of a crossword constructor or puzzles section editor, automated filling tools frequently bottleneck on wide-open grid sections, significantly slowing the iterative design process for daily publications.</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architecture that makes it worth measuring.</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versus this specific mechanism within it)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described here.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by sharing learnt nogoods (assignments proven infeasible) and objective bounds between workers, 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using the average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only under a single writer, since it depends on the exact sequence of prior updates; concurrent writers need a rule that ignores order entirely. The dedicated exhaustive worker is excluded because its entire value is one undisturbed trajectory: wiring it into the shared signal regressed one grid in the corpus, and excluding it again did not recover that grid either, since ordinary restart workers’ own search order was redirected by the shared signal itself, not solely by the dedicated worker’s presence in it.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run against real multi-threaded solves, reports no unsafe concurrent access. In earlier development-time testing across a broad corpus of moderate-difficulty grids (</w:t>
      </w:r>
      <w:r>
        <w:rPr>
          <w:rStyle w:val="VerbatimChar"/>
        </w:rPr>
        <w:t xml:space="preserve">docs/design.md</w:t>
      </w:r>
      <w:r>
        <w:t xml:space="preserve">), this mechanism cut solve time broadly, revisited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Motivated by a</w:t>
      </w:r>
      <w:r>
        <w:t xml:space="preserve"> </w:t>
      </w:r>
      <m:oMath>
        <m:r>
          <m:t>7</m:t>
        </m:r>
        <m:r>
          <m:rPr>
            <m:sty m:val="p"/>
          </m:rPr>
          <m:t>×</m:t>
        </m:r>
        <m:r>
          <m:t>7</m:t>
        </m:r>
      </m:oMath>
      <w:r>
        <w:t xml:space="preserve"> </w:t>
      </w:r>
      <w:r>
        <w:t xml:space="preserve">grid known to be exceptionally hard for restart-based search, five letter-level branching variants were implemented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be coincidence, prompting further investigation.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they were compared,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 This negative result directly informs better design practices for future parallel CSP solvers, ensuring benchmarking efforts are spent on genuinely active code paths rather than phantom optimizations.</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enabled by Section </w:t>
      </w:r>
      <w:hyperlink w:anchor="sec:negative">
        <w:r>
          <w:rPr>
            <w:rStyle w:val="Hyperlink"/>
          </w:rPr>
          <w:t xml:space="preserve">4</w:t>
        </w:r>
      </w:hyperlink>
      <w:r>
        <w:t xml:space="preserve">’s fix, test two distinct claims kept separate rather than blended: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w:t>
      </w:r>
    </w:p>
    <w:p>
      <w:pPr>
        <w:pStyle w:val="BodyText"/>
      </w:pPr>
      <w:r>
        <w:rPr>
          <w:b/>
          <w:bCs/>
        </w:rPr>
        <w:t xml:space="preserve">Solvers.</w:t>
      </w:r>
      <w:r>
        <w:t xml:space="preserve"> </w:t>
      </w:r>
      <w:r>
        <w:t xml:space="preserve">xfill (this work); orca-solver</w:t>
      </w:r>
      <w:r>
        <w:t xml:space="preserve"> </w:t>
      </w:r>
      <w:r>
        <w:t xml:space="preserve">, a partition-based parallel solver treated as a black box; ingrid_core</w:t>
      </w:r>
      <w:r>
        <w:t xml:space="preserve"> </w:t>
      </w:r>
      <w:r>
        <w:t xml:space="preserve">, a single-threaded reference solver; and, as a naive baseline with no restarts, no learned heuristics, and no parallelism, crossword-composer</w:t>
      </w:r>
      <w:r>
        <w:t xml:space="preserve"> </w:t>
      </w:r>
      <w:r>
        <w:t xml:space="preserve"> </w:t>
      </w:r>
      <w:r>
        <w:t xml:space="preserve">(a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its own freely available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23963"/>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23963"/>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this is reported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The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result is regime-dependent: shared weights help on typical grids by redistributing which crossings each worker deprioritizes, but at the extreme difficulty end trade tight, well-behaved variance for a wider one that is not reliably better, and sometimes worse. There is no evidence for a uniform win, so none is claimed;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This was tested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3972593" cy="2507719"/>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3972593" cy="2507719"/>
                    </a:xfrm>
                    <a:prstGeom prst="rect">
                      <a:avLst/>
                    </a:prstGeom>
                    <a:noFill/>
                    <a:ln w="9525">
                      <a:noFill/>
                      <a:headEnd/>
                      <a:tailEnd/>
                    </a:ln>
                  </pic:spPr>
                </pic:pic>
              </a:graphicData>
            </a:graphic>
          </wp:inline>
        </w:drawing>
      </w:r>
    </w:p>
    <w:p>
      <w:pPr>
        <w:pStyle w:val="ImageCaption"/>
      </w:pPr>
      <w:r>
        <w:t xml:space="preserve">Wall time vs. thread count, xfill vs. orca-solver, on two grids known to be hard for restart-based search (45s cap; orca-solver missing from a panel means every one of its 7 thread counts timed out; a third grid, grid_115, times out for both solvers at every thread count tested and is omitted, see text).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This further test splits three ways, showing this is a property of the architecture rather than a lucky pick of grid: on</w:t>
      </w:r>
      <w:r>
        <w:t xml:space="preserve"> </w:t>
      </w:r>
      <w:r>
        <w:rPr>
          <w:rStyle w:val="VerbatimChar"/>
        </w:rPr>
        <w:t xml:space="preserve">grid_120</w:t>
      </w:r>
      <w:r>
        <w:t xml:space="preserve"> </w:t>
      </w:r>
      <w:r>
        <w:t xml:space="preserve">(Fig. </w:t>
      </w:r>
      <w:hyperlink w:anchor="fig:scaling">
        <w:r>
          <w:rPr>
            <w:rStyle w:val="Hyperlink"/>
          </w:rPr>
          <w:t xml:space="preserve">2</w:t>
        </w:r>
      </w:hyperlink>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w:t>
      </w:r>
      <w:r>
        <w:t xml:space="preserve">(Fig. </w:t>
      </w:r>
      <w:hyperlink w:anchor="fig:scaling">
        <w:r>
          <w:rPr>
            <w:rStyle w:val="Hyperlink"/>
          </w:rPr>
          <w:t xml:space="preserve">2</w:t>
        </w:r>
      </w:hyperlink>
      <w:r>
        <w:t xml:space="preserve">), xfill solves it at 8, 14, and 42 threads, with wall time actually increasing across those three (22.9s to 38.2s), while orca-solver fails to solve it at</w:t>
      </w:r>
      <w:r>
        <w:t xml:space="preserve"> </w:t>
      </w:r>
      <w:r>
        <w:rPr>
          <w:i/>
          <w:iCs/>
        </w:rPr>
        <w:t xml:space="preserve">any</w:t>
      </w:r>
      <w:r>
        <w:t xml:space="preserve"> </w:t>
      </w:r>
      <w:r>
        <w:t xml:space="preserve">of the 7 thread counts tested, so the win here is completion, not speed; on</w:t>
      </w:r>
      <w:r>
        <w:t xml:space="preserve"> </w:t>
      </w:r>
      <w:r>
        <w:rPr>
          <w:rStyle w:val="VerbatimChar"/>
        </w:rPr>
        <w:t xml:space="preserve">grid_115</w:t>
      </w:r>
      <w:r>
        <w:t xml:space="preserve"> </w:t>
      </w:r>
      <w:r>
        <w:t xml:space="preserve">(timed out at every thread count for both solvers, so omitted from the figure), neither solver succeeds at all, and thus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allowing a direct test of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resolved 19, orca-solver 18, ingrid_core 17, and crossword-composer, a real, unmodified, independently authored solver and not a strawman built to lose, only 9.</w:t>
      </w:r>
    </w:p>
    <w:bookmarkStart w:id="29" w:name="tab:outcomes"/>
    <w:p>
      <w:pPr>
        <w:pStyle w:val="TableCaption"/>
      </w:pPr>
      <w:r>
        <w:t xml:space="preserve">Solve Outcomes Across All 20 Grids, 1000s Cap</w:t>
      </w:r>
    </w:p>
    <w:tbl>
      <w:tblPr>
        <w:tblStyle w:val="Table"/>
        <w:tblW w:type="auto" w:w="0"/>
        <w:tblLook w:firstRow="1" w:lastRow="0" w:firstColumn="0" w:lastColumn="0" w:noHBand="0" w:noVBand="0" w:val="0020"/>
        <w:tblCaption w:val="Solve Outcomes Across All 20 Grids, 1000s Cap"/>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Resolved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realistic grid and dictionary sizes, restarts, adaptive heuristics, and parallelism are not optional refinements, but the premise the rest of this section, and this paper’s mechanism, depend on.</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The negative result in Section </w:t>
      </w:r>
      <w:hyperlink w:anchor="sec:negative">
        <w:r>
          <w:rPr>
            <w:rStyle w:val="Hyperlink"/>
          </w:rPr>
          <w:t xml:space="preserve">4</w:t>
        </w:r>
      </w:hyperlink>
      <w:r>
        <w:t xml:space="preserve"> </w:t>
      </w:r>
      <w:r>
        <w:t xml:space="preserve">follows the same discipline. Five branching heuristics looked interchangeable only because none of them ever executed on the grid that motivated them, a gap direct instrumentation closed but a benchmark-score comparison alone would have missed. The same standard applies to Section </w:t>
      </w:r>
      <w:hyperlink w:anchor="sec:ablation">
        <w:r>
          <w:rPr>
            <w:rStyle w:val="Hyperlink"/>
          </w:rPr>
          <w:t xml:space="preserve">5.2</w:t>
        </w:r>
      </w:hyperlink>
      <w:r>
        <w:t xml:space="preserve">’s ablation: reporting the broad-corpus win alone, without also checking the harder grids directly, would have missed the regime-dependence that turned out to matter most. In both cases, the paper’s numbers were trustworthy only once verified against what the code actually did, not just its aggregate score.</w:t>
      </w:r>
    </w:p>
    <w:bookmarkEnd w:id="37"/>
    <w:bookmarkStart w:id="38" w:name="limitations"/>
    <w:p>
      <w:pPr>
        <w:pStyle w:val="Heading1"/>
      </w:pPr>
      <w:r>
        <w:t xml:space="preserve">Limitations</w:t>
      </w:r>
    </w:p>
    <w:p>
      <w:pPr>
        <w:pStyle w:val="FirstParagraph"/>
      </w:pPr>
      <w:r>
        <w:t xml:space="preserve">All timing results are from one 14-core machine and one dictionary derived from a specific freely available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implementation of that approach. Both principal solvers are actively developed; exact commit hashes are recorded in the testbench README.</w:t>
      </w:r>
    </w:p>
    <w:bookmarkEnd w:id="38"/>
    <w:bookmarkStart w:id="39" w:name="conclusion"/>
    <w:p>
      <w:pPr>
        <w:pStyle w:val="Heading1"/>
      </w:pPr>
      <w:r>
        <w:t xml:space="preserve">Conclusion</w:t>
      </w:r>
    </w:p>
    <w:p>
      <w:pPr>
        <w:pStyle w:val="FirstParagraph"/>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restart portfolios suit finding solutions quickly, partitioned search suits proving none exist, a pattern independent of any one solver. The mechanism itself, tested in isolation, is more modest than the architecture it sits inside: a real win on typical grids, a wash or worse on the hardest ones, reported as measured rather than as hoped. A negative result was also reported from the same codebase, in which five heuristics were rendered indistinguishable by a precondition that kept them from ever executing, illustrating a reusable caution for comparing branching heuristics by benchmark score alone. Although xfill is built for crossword filling, its mechanism is not: it needs only a dom/wdeg-style weight table and a restart loop, both common in CSP and lazy-clause-generation solvers, so the same approach could extend to other CSPs, the combination Section </w:t>
      </w:r>
      <w:hyperlink w:anchor="sec:relwork">
        <w:r>
          <w:rPr>
            <w:rStyle w:val="Hyperlink"/>
          </w:rPr>
          <w:t xml:space="preserve">2</w:t>
        </w:r>
      </w:hyperlink>
      <w:r>
        <w:t xml:space="preserve"> </w:t>
      </w:r>
      <w:r>
        <w:t xml:space="preserve">found no prior system using.</w:t>
      </w:r>
    </w:p>
    <w:p>
      <w:pPr>
        <w:pStyle w:val="BodyText"/>
      </w:pPr>
      <w:r>
        <w:t xml:space="preserve">Future work could test that extension directly, in a non-crossword CSP domain such as graph coloring or scheduling, where a wdeg-style solver already exists and only the shared-weight array would need to be added. This could significantly accelerate resource-constrained scheduling tasks without requiring heavy synchronization overhead. It could also broaden the architectural comparison beyond orca-solver to other partition-based solvers, and re-run the ablation on a genuinely independent machine and dictionary, to separate what is specific to this setup from what generalizes.</w:t>
      </w:r>
    </w:p>
    <w:bookmarkEnd w:id="39"/>
    <w:bookmarkStart w:id="46"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40">
        <w:r>
          <w:rPr>
            <w:rStyle w:val="Hyperlink"/>
          </w:rPr>
          <w:t xml:space="preserve">https://crosswordgrids.com/15x15-crossword-grids</w:t>
        </w:r>
      </w:hyperlink>
    </w:p>
    <w:p>
      <w:pPr>
        <w:pStyle w:val="BodyText"/>
      </w:pPr>
      <w:r>
        <w:t xml:space="preserve">B. Husic and E. Henestroza Anguiano.</w:t>
      </w:r>
      <w:r>
        <w:t xml:space="preserve"> </w:t>
      </w:r>
      <w:r>
        <w:t xml:space="preserve">“Spread the word(list).”</w:t>
      </w:r>
      <w:r>
        <w:t xml:space="preserve"> </w:t>
      </w:r>
      <w:r>
        <w:t xml:space="preserve">Accessed: Jul. 22, 2026. [Online.] Available:</w:t>
      </w:r>
      <w:r>
        <w:t xml:space="preserve"> </w:t>
      </w:r>
      <w:hyperlink r:id="rId41">
        <w:r>
          <w:rPr>
            <w:rStyle w:val="Hyperlink"/>
          </w:rPr>
          <w:t xml:space="preserve">https://www.spreadthewordlist.com/</w:t>
        </w:r>
      </w:hyperlink>
    </w:p>
    <w:p>
      <w:pPr>
        <w:pStyle w:val="BodyText"/>
      </w:pPr>
      <w:r>
        <w:t xml:space="preserve">J. Hawksley.</w:t>
      </w:r>
      <w:r>
        <w:t xml:space="preserve"> </w:t>
      </w:r>
      <w:r>
        <w:rPr>
          <w:i/>
          <w:iCs/>
        </w:rPr>
        <w:t xml:space="preserve">orca-solver</w:t>
      </w:r>
      <w:r>
        <w:t xml:space="preserve">. (2026). Version 0.3.0. Accessed: Aug. 5, 2026. [Online]. Available:</w:t>
      </w:r>
      <w:r>
        <w:t xml:space="preserve"> </w:t>
      </w:r>
      <w:hyperlink r:id="rId42">
        <w:r>
          <w:rPr>
            <w:rStyle w:val="Hyperlink"/>
          </w:rPr>
          <w:t xml:space="preserve">https://github.com/rainjacket/orca-solver</w:t>
        </w:r>
      </w:hyperlink>
    </w:p>
    <w:p>
      <w:pPr>
        <w:pStyle w:val="BodyText"/>
      </w:pPr>
      <w:r>
        <w:t xml:space="preserve">S. Szuflita.</w:t>
      </w:r>
      <w:r>
        <w:t xml:space="preserve"> </w:t>
      </w:r>
      <w:r>
        <w:rPr>
          <w:i/>
          <w:iCs/>
        </w:rPr>
        <w:t xml:space="preserve">ingrid</w:t>
      </w:r>
      <w:r>
        <w:t xml:space="preserve">. Accessed: Aug. 5, 2026. [Online]. Available:</w:t>
      </w:r>
      <w:r>
        <w:t xml:space="preserve"> </w:t>
      </w:r>
      <w:hyperlink r:id="rId43">
        <w:r>
          <w:rPr>
            <w:rStyle w:val="Hyperlink"/>
          </w:rPr>
          <w:t xml:space="preserve">https://github.com/szunami/ingrid</w:t>
        </w:r>
      </w:hyperlink>
    </w:p>
    <w:p>
      <w:pPr>
        <w:pStyle w:val="BodyText"/>
      </w:pPr>
      <w:r>
        <w:t xml:space="preserve">P. Butler.</w:t>
      </w:r>
      <w:r>
        <w:t xml:space="preserve"> </w:t>
      </w:r>
      <w:r>
        <w:rPr>
          <w:i/>
          <w:iCs/>
        </w:rPr>
        <w:t xml:space="preserve">crossword-composer</w:t>
      </w:r>
      <w:r>
        <w:t xml:space="preserve">. Accessed: Aug. 5, 2026. [Online]. Available:</w:t>
      </w:r>
      <w:r>
        <w:t xml:space="preserve"> </w:t>
      </w:r>
      <w:hyperlink r:id="rId44">
        <w:r>
          <w:rPr>
            <w:rStyle w:val="Hyperlink"/>
          </w:rPr>
          <w:t xml:space="preserve">https://github.com/paulgb/crossword-composer</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5">
        <w:r>
          <w:rPr>
            <w:rStyle w:val="Hyperlink"/>
          </w:rPr>
          <w:t xml:space="preserve">https://github.com/ls1881/crossword-filler</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szunami/ingrid" TargetMode="External" /><Relationship Type="http://schemas.openxmlformats.org/officeDocument/2006/relationships/hyperlink" Id="rId41"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szunami/ingrid" TargetMode="External" /><Relationship Type="http://schemas.openxmlformats.org/officeDocument/2006/relationships/hyperlink" Id="rId41"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2026-08-08T19:18:07Z</dcterms:created>
  <dcterms:modified xsi:type="dcterms:W3CDTF">2026-08-08T19:18:07Z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by a geometric mean of 107 times. Partitioning, conversely, gives non-overlapping coverage useful for proving unsatisfiability. Isolating the mechanism itself, holding solver and grid fixed, shows a consistent win on moderate-difficulty grids but higher variance rather than a reliable one on the hardest instances, reported honestly alongside the positive result. A further negative result: five plausible branching heuristics produced identical output because a domain-size precondition meant none of them ever executed, caught only by direct instrumentation, not benchmark comparison.</vt:lpwstr>
  </property>
</Properties>
</file>