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df" ContentType="application/pdf"/>
  <Override PartName="/word/media/rId24.pdf" ContentType="application/pdf"/>
  <Override PartName="/word/media/rId29.pdf" ContentType="application/pdf"/>
  <Override PartName="/word/media/rId34.pdf" ContentType="application/pdf"/>
  <Override PartName="/word/media/rId1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Conflict Weights Without Partitioning: A Concurrent dom/wdeg Portfolio for Word-Level Crossword Filling</w:t>
      </w:r>
    </w:p>
    <w:p>
      <w:pPr>
        <w:pStyle w:val="Author"/>
      </w:pPr>
    </w:p>
    <w:p>
      <w:pPr>
        <w:pStyle w:val="AbstractTitle"/>
      </w:pPr>
      <w:r>
        <w:t xml:space="preserve">Abstract</w:t>
      </w:r>
    </w:p>
    <w:p>
      <w:pPr>
        <w:pStyle w:val="Abstract"/>
      </w:pPr>
      <w:r>
        <w:t xml:space="preserve">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14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 restart-portfolio search as an architectural class versus this specific mechanism within it – rather than conflating them; and (3) a methodological negative result about confirming a heuristic under test actually executes before trusting a benchmark comparison of it.</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 never concurrent. Ehlers and Stuckey</w:t>
      </w:r>
      <w:r>
        <w:t xml:space="preserve"> </w:t>
      </w:r>
      <w:r>
        <w:t xml:space="preserve"> </w:t>
      </w:r>
      <w:r>
        <w:t xml:space="preserve">parallelize a lazy-clause-generation solver by sharing nogoods and trail state between workers – concurrent, but sharing</w:t>
      </w:r>
      <w:r>
        <w:t xml:space="preserve"> </w:t>
      </w:r>
      <w:r>
        <w:rPr>
          <w:i/>
          <w:iCs/>
        </w:rPr>
        <w:t xml:space="preserve">hard</w:t>
      </w:r>
      <w:r>
        <w:t xml:space="preserve">, logically derived 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no CSP work sharing heuristic statistics continuously among concurrent, non-partitioning workers; its own taxonomy has no category for it.</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depends on the exact sequence of prior updates and is race-free only with a single writer, while concurrent writers need an update rule that does not depend on order. The dedicated exhaustive worker is excluded because its entire value is one undisturbed trajectory; wiring it in measurably regressed the one grid in our corpus it uniquely solved. Two correctness properties were required: single-threaded calls stay byte-identical to the unshared baseline, gated on thread count</w:t>
      </w:r>
      <w:r>
        <w:t xml:space="preserve"> </w:t>
      </w:r>
      <m:oMath>
        <m:r>
          <m:rPr>
            <m:sty m:val="p"/>
          </m:rPr>
          <m:t>&gt;</m:t>
        </m:r>
        <m:r>
          <m:t>1</m:t>
        </m:r>
      </m:oMath>
      <w:r>
        <w:t xml:space="preserve">; and ThreadSanitizer, run against real multi-threaded solves, reports no data races, consistent with every update being independent of order. In earlier development-time testing across a broad corpus of moderate-difficulty grids (documented in</w:t>
      </w:r>
      <w:r>
        <w:t xml:space="preserve"> </w:t>
      </w:r>
      <w:r>
        <w:rPr>
          <w:rStyle w:val="VerbatimChar"/>
        </w:rPr>
        <w:t xml:space="preserve">docs/design.md</w:t>
      </w:r>
      <w:r>
        <w:t xml:space="preserve">), this mechanism cut solve time broadly – a finding we revisit against a harder, targeted ablation in Section </w:t>
      </w:r>
      <w:hyperlink w:anchor="sec:ablation">
        <w:r>
          <w:rPr>
            <w:rStyle w:val="Hyperlink"/>
          </w:rPr>
          <w:t xml:space="preserve">5.7</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we include it because it shaped how we validate every other result in this paper. Motivated by a</w:t>
      </w:r>
      <w:r>
        <w:t xml:space="preserve"> </w:t>
      </w:r>
      <m:oMath>
        <m:r>
          <m:t>7</m:t>
        </m:r>
        <m:r>
          <m:rPr>
            <m:sty m:val="p"/>
          </m:rPr>
          <m:t>×</m:t>
        </m:r>
        <m:r>
          <m:t>7</m:t>
        </m:r>
      </m:oMath>
      <w:r>
        <w:t xml:space="preserve"> </w:t>
      </w:r>
      <w:r>
        <w:t xml:space="preserve">grid known to be exceptionally hard for restart-based search (Section </w:t>
      </w:r>
      <w:hyperlink w:anchor="sec:oversub">
        <w:r>
          <w:rPr>
            <w:rStyle w:val="Hyperlink"/>
          </w:rPr>
          <w:t xml:space="preserve">5.2</w:t>
        </w:r>
      </w:hyperlink>
      <w:r>
        <w:t xml:space="preserve">), we implemented five letter-level branching variants – two minimum-remaining-value scoring rules, a faithful reimplementation of a partition-based solver’s own candidate scoring (read from its published source for reference), and a reversed scan order – reasoning that a smaller per-node branching factor should help on wide-open grids.</w:t>
      </w:r>
    </w:p>
    <w:p>
      <w:pPr>
        <w:pStyle w:val="BodyText"/>
      </w:pPr>
      <w:r>
        <w:t xml:space="preserve">All five produced numerically identical node and backtrack counts – 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5.2</w:t>
        </w:r>
      </w:hyperlink>
      <w:r>
        <w:t xml:space="preserve">. The reusable point: an A/B comparison of branching heuristics is only informative once the branch under test is confirmed, by direct instrumentation, to execute.</w:t>
      </w:r>
    </w:p>
    <w:bookmarkEnd w:id="12"/>
    <w:bookmarkStart w:id="40"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test two distinct claims, and we keep them in separate subsections rather than blending them. Sections </w:t>
      </w:r>
      <w:hyperlink w:anchor="sec:oversub">
        <w:r>
          <w:rPr>
            <w:rStyle w:val="Hyperlink"/>
          </w:rPr>
          <w:t xml:space="preserve">5.2</w:t>
        </w:r>
      </w:hyperlink>
      <w:r>
        <w:t xml:space="preserve">–</w:t>
      </w:r>
      <w:hyperlink w:anchor="sec:exhaustive">
        <w:r>
          <w:rPr>
            <w:rStyle w:val="Hyperlink"/>
          </w:rPr>
          <w:t xml:space="preserve">5.6</w:t>
        </w:r>
      </w:hyperlink>
      <w:r>
        <w:t xml:space="preserve"> </w:t>
      </w:r>
      <w:r>
        <w:t xml:space="preserve">test whether restart-portfolio search, as an architectural class, occupies a genuinely different point in the design space than partition-based search – using orca-solver as a concrete, independently developed representative of that alternative, and an unmodified naive backtracker to show the comparison is not trivial. This establishes why the mechanism is worth building at all. Section </w:t>
      </w:r>
      <w:hyperlink w:anchor="sec:ablation">
        <w:r>
          <w:rPr>
            <w:rStyle w:val="Hyperlink"/>
          </w:rPr>
          <w:t xml:space="preserve">5.7</w:t>
        </w:r>
      </w:hyperlink>
      <w:r>
        <w:t xml:space="preserve"> </w:t>
      </w:r>
      <w:r>
        <w:t xml:space="preserve">then isolates the mechanism itself, holding architecture fixed, which is this paper’s actual contribution.</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 second naive baseline, savin_crossword, was tested but is excluded below: it timed out on all 20 grids at both a 120s and a 300s cap, including trivial</w:t>
      </w:r>
      <w:r>
        <w:t xml:space="preserve"> </w:t>
      </w:r>
      <m:oMath>
        <m:r>
          <m:t>5</m:t>
        </m:r>
        <m:r>
          <m:rPr>
            <m:sty m:val="p"/>
          </m:rPr>
          <m:t>×</m:t>
        </m:r>
        <m:r>
          <m:t>5</m:t>
        </m:r>
      </m:oMath>
      <w:r>
        <w:t xml:space="preserve">/</w:t>
      </w:r>
      <m:oMath>
        <m:r>
          <m:t>7</m:t>
        </m:r>
        <m:r>
          <m:rPr>
            <m:sty m:val="p"/>
          </m:rPr>
          <m:t>×</m:t>
        </m:r>
        <m:r>
          <m:t>7</m:t>
        </m:r>
      </m:oMath>
      <w:r>
        <w:t xml:space="preserve"> </w:t>
      </w:r>
      <w:r>
        <w:t xml:space="preserve">ones (Section </w:t>
      </w:r>
      <w:hyperlink w:anchor="sec:naive">
        <w:r>
          <w:rPr>
            <w:rStyle w:val="Hyperlink"/>
          </w:rPr>
          <w:t xml:space="preserve">5.4</w:t>
        </w:r>
      </w:hyperlink>
      <w:r>
        <w:t xml:space="preserve">). The remaining four run through a single fixed harness (</w:t>
      </w:r>
      <w:r>
        <w:rPr>
          <w:rStyle w:val="VerbatimChar"/>
        </w:rPr>
        <w:t xml:space="preserve">benchmarks/urtc2026_testbench/</w:t>
      </w:r>
      <w:r>
        <w:t xml:space="preserve">), against a dictionary derived deterministically from the repository’s own freely available word list, with a fixed seed and a 300-second cap, reproducible via</w:t>
      </w:r>
      <w:r>
        <w:t xml:space="preserve"> </w:t>
      </w:r>
      <w:r>
        <w:rPr>
          <w:rStyle w:val="VerbatimChar"/>
        </w:rPr>
        <w:t xml:space="preserve">run_benchmark.py</w:t>
      </w:r>
      <w:r>
        <w:t xml:space="preserve">; every timeout was re-tested at 600s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5.4</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 all committed to the repository.</w:t>
      </w:r>
    </w:p>
    <w:bookmarkEnd w:id="13"/>
    <w:bookmarkStart w:id="18"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a known-hard</w:t>
      </w:r>
      <w:r>
        <w:t xml:space="preserve"> </w:t>
      </w:r>
      <m:oMath>
        <m:r>
          <m:t>7</m:t>
        </m:r>
        <m:r>
          <m:rPr>
            <m:sty m:val="p"/>
          </m:rPr>
          <m:t>×</m:t>
        </m:r>
        <m:r>
          <m:t>7</m:t>
        </m:r>
      </m:oMath>
      <w:r>
        <w:t xml:space="preserve"> </w:t>
      </w:r>
      <w:r>
        <w:t xml:space="preserve">grid (two pre-filled letters, no blocked cells, single sample), oversubscribing threads well past this machine’s 14 physical cores: wall time falls from 166.7s at 1 thread to 63.0s at 14, then wanders (104.6s at 28, 85.6s at 42, 112.4s at 56) as contention erodes further gains. Every configuration beats the 201.7s single-threaded baseline an independently developed partition-based solver publishes on the same grid – an external difficulty anchor, not a target being chased.</w:t>
      </w:r>
    </w:p>
    <w:bookmarkStart w:id="17" w:name="fig:scaling"/>
    <w:p>
      <w:pPr>
        <w:pStyle w:val="CaptionedFigure"/>
      </w:pPr>
      <w:r>
        <w:drawing>
          <wp:inline>
            <wp:extent cx="5334000" cy="2327144"/>
            <wp:effectExtent b="0" l="0" r="0" t="0"/>
            <wp:docPr descr="" title="" id="15" name="Picture"/>
            <a:graphic>
              <a:graphicData uri="http://schemas.openxmlformats.org/drawingml/2006/picture">
                <pic:pic>
                  <pic:nvPicPr>
                    <pic:cNvPr descr="../benchmarks/urtc2026_testbench/results/figures/fig5_thread_scaling.pdf" id="16" name="Picture"/>
                    <pic:cNvPicPr>
                      <a:picLocks noChangeArrowheads="1" noChangeAspect="1"/>
                    </pic:cNvPicPr>
                  </pic:nvPicPr>
                  <pic:blipFill>
                    <a:blip r:embed="rId14"/>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17"/>
    <w:bookmarkEnd w:id="18"/>
    <w:bookmarkStart w:id="23"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1</w:t>
        </w:r>
      </w:hyperlink>
      <w:r>
        <w:t xml:space="preserve"> </w:t>
      </w:r>
      <w:r>
        <w:t xml:space="preserve">repeats the oversubscription experiment on three more grids, at 1 through 42 threads, for both xfill and orca-solver, to check whether Section </w:t>
      </w:r>
      <w:hyperlink w:anchor="sec:oversub">
        <w:r>
          <w:rPr>
            <w:rStyle w:val="Hyperlink"/>
          </w:rPr>
          <w:t xml:space="preserve">5.2</w:t>
        </w:r>
      </w:hyperlink>
      <w:r>
        <w:t xml:space="preserve">’s result is a general property of restart portfolios or an artifact of one grid. The result splits three ways: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2" w:name="fig:size"/>
    <w:p>
      <w:pPr>
        <w:pStyle w:val="CaptionedFigure"/>
      </w:pPr>
      <w:r>
        <w:drawing>
          <wp:inline>
            <wp:extent cx="5334000" cy="2631907"/>
            <wp:effectExtent b="0" l="0" r="0" t="0"/>
            <wp:docPr descr="" title="" id="20" name="Picture"/>
            <a:graphic>
              <a:graphicData uri="http://schemas.openxmlformats.org/drawingml/2006/picture">
                <pic:pic>
                  <pic:nvPicPr>
                    <pic:cNvPr descr="../benchmarks/urtc2026_testbench/results/figures/fig1_success_by_size.pdf" id="21" name="Picture"/>
                    <pic:cNvPicPr>
                      <a:picLocks noChangeArrowheads="1" noChangeAspect="1"/>
                    </pic:cNvPicPr>
                  </pic:nvPicPr>
                  <pic:blipFill>
                    <a:blip r:embed="rId19"/>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600s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2"/>
    <w:bookmarkEnd w:id="23"/>
    <w:bookmarkStart w:id="28" w:name="sec:naive"/>
    <w:p>
      <w:pPr>
        <w:pStyle w:val="Heading2"/>
      </w:pPr>
      <w:r>
        <w:t xml:space="preserve">Naive Backtracking Is Not a Baseline Worth Beating</w:t>
      </w:r>
    </w:p>
    <w:p>
      <w:pPr>
        <w:pStyle w:val="FirstParagraph"/>
      </w:pPr>
      <w:r>
        <w:t xml:space="preserve">Across all 20 grids, xfill resolved 19 (18 solved, 1 UNSAT; 1 timeout), orca-solver 18 (17 solved, 1 UNSAT; 2 timeouts), ingrid_core 17 (16 solved, 1 UNSAT; 3 timeouts), and crossword-composer 9 (8 solved, 1 UNSAT; 11 timeouts); savin_crossword resolved</w:t>
      </w:r>
      <w:r>
        <w:t xml:space="preserve"> </w:t>
      </w:r>
      <w:r>
        <w:rPr>
          <w:i/>
          <w:iCs/>
        </w:rPr>
        <w:t xml:space="preserve">none</w:t>
      </w:r>
      <w:r>
        <w:t xml:space="preserve">, for the reasons given in Setup, and never appears in Fig. </w:t>
      </w:r>
      <w:hyperlink w:anchor="fig:size">
        <w:r>
          <w:rPr>
            <w:rStyle w:val="Hyperlink"/>
          </w:rPr>
          <w:t xml:space="preserve">2</w:t>
        </w:r>
      </w:hyperlink>
      <w:r>
        <w:t xml:space="preserve"> </w:t>
      </w:r>
      <w:r>
        <w:t xml:space="preserve">or Fig. </w:t>
      </w:r>
      <w:hyperlink w:anchor="fig:speedup">
        <w:r>
          <w:rPr>
            <w:rStyle w:val="Hyperlink"/>
          </w:rPr>
          <w:t xml:space="preserve">3</w:t>
        </w:r>
      </w:hyperlink>
      <w:r>
        <w:t xml:space="preserve">. Its failure differs in kind from crossword-composer’s: crossword-composer solves most grids and fails only on individual instances, unrelated to dictionary size, while savin_crossword’s least-constraining-value step recomputes an</w:t>
      </w:r>
      <w:r>
        <w:t xml:space="preserve"> </w:t>
      </w:r>
      <m:oMath>
        <m:r>
          <m:t>O</m:t>
        </m:r>
        <m:r>
          <m:rPr>
            <m:sty m:val="p"/>
          </m:rPr>
          <m:t>(</m:t>
        </m:r>
        <m:r>
          <m:rPr>
            <m:sty m:val="p"/>
          </m:rPr>
          <m:t>|</m:t>
        </m:r>
        <m:r>
          <m:rPr>
            <m:nor/>
            <m:sty m:val="p"/>
          </m:rPr>
          <m:t>domain</m:t>
        </m:r>
        <m:sSup>
          <m:e>
            <m:r>
              <m:rPr>
                <m:sty m:val="p"/>
              </m:rPr>
              <m:t>|</m:t>
            </m:r>
          </m:e>
          <m:sup>
            <m:r>
              <m:t>2</m:t>
            </m:r>
          </m:sup>
        </m:sSup>
        <m:r>
          <m:rPr>
            <m:sty m:val="p"/>
          </m:rPr>
          <m:t>)</m:t>
        </m:r>
      </m:oMath>
      <w:r>
        <w:t xml:space="preserve"> </w:t>
      </w:r>
      <w:r>
        <w:t xml:space="preserve">score from scratch at every node, which our</w:t>
      </w:r>
      <w:r>
        <w:t xml:space="preserve"> </w:t>
      </w:r>
      <m:oMath>
        <m:r>
          <m:rPr>
            <m:sty m:val="p"/>
          </m:rPr>
          <m:t>∼</m:t>
        </m:r>
      </m:oMath>
      <w:r>
        <w:t xml:space="preserve">184</w:t>
      </w:r>
      <w:r>
        <w:t xml:space="preserve">,</w:t>
      </w:r>
      <w:r>
        <w:t xml:space="preserve">000-word dictionary makes prohibitive regardless of size – both real, unmodified, independently authored solvers, tested rather than assumed to fail. Doubling the cap to 600s changed exactly one outcome: ingrid_core went on to solve</w:t>
      </w:r>
      <w:r>
        <w:t xml:space="preserve"> </w:t>
      </w:r>
      <w:r>
        <w:rPr>
          <w:rStyle w:val="VerbatimChar"/>
        </w:rPr>
        <w:t xml:space="preserve">grid_479</w:t>
      </w:r>
      <w:r>
        <w:t xml:space="preserve"> </w:t>
      </w:r>
      <w:r>
        <w:t xml:space="preserve">in 325s. Every other timeout – all 11 of crossword-composer’s, plus</w:t>
      </w:r>
      <w:r>
        <w:t xml:space="preserve"> </w:t>
      </w:r>
      <w:r>
        <w:rPr>
          <w:rStyle w:val="VerbatimChar"/>
        </w:rPr>
        <w:t xml:space="preserve">sample_13x13</w:t>
      </w:r>
      <w:r>
        <w:t xml:space="preserve">, the one grid no solver resolves at either cap – held: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 – they are the premise on which the rest of this section, and the mechanism this paper contributes, depend.</w:t>
      </w:r>
    </w:p>
    <w:bookmarkStart w:id="27" w:name="fig:speedup"/>
    <w:p>
      <w:pPr>
        <w:pStyle w:val="CaptionedFigure"/>
      </w:pPr>
      <w:r>
        <w:drawing>
          <wp:inline>
            <wp:extent cx="4907280" cy="1770849"/>
            <wp:effectExtent b="0" l="0" r="0" t="0"/>
            <wp:docPr descr="" title="" id="25" name="Picture"/>
            <a:graphic>
              <a:graphicData uri="http://schemas.openxmlformats.org/drawingml/2006/picture">
                <pic:pic>
                  <pic:nvPicPr>
                    <pic:cNvPr descr="../benchmarks/urtc2026_testbench/results/figures/fig1b_speedup.pdf" id="26" name="Picture"/>
                    <pic:cNvPicPr>
                      <a:picLocks noChangeArrowheads="1" noChangeAspect="1"/>
                    </pic:cNvPicPr>
                  </pic:nvPicPr>
                  <pic:blipFill>
                    <a:blip r:embed="rId24"/>
                    <a:stretch>
                      <a:fillRect/>
                    </a:stretch>
                  </pic:blipFill>
                  <pic:spPr bwMode="auto">
                    <a:xfrm>
                      <a:off x="0" y="0"/>
                      <a:ext cx="4907280" cy="1770849"/>
                    </a:xfrm>
                    <a:prstGeom prst="rect">
                      <a:avLst/>
                    </a:prstGeom>
                    <a:noFill/>
                    <a:ln w="9525">
                      <a:noFill/>
                      <a:headEnd/>
                      <a:tailEnd/>
                    </a:ln>
                  </pic:spPr>
                </pic:pic>
              </a:graphicData>
            </a:graphic>
          </wp:inline>
        </w:drawing>
      </w:r>
    </w:p>
    <w:p>
      <w:pPr>
        <w:pStyle w:val="ImageCaption"/>
      </w:pPr>
      <w:r>
        <w:t xml:space="preserve">Wall time to solve (log scale, 600s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5.4</w:t>
        </w:r>
      </w:hyperlink>
      <w:r>
        <w:t xml:space="preserve"> </w:t>
      </w:r>
      <w:r>
        <w:t xml:space="preserve">(savin_crossword is excluded entirely, also Section </w:t>
      </w:r>
      <w:hyperlink w:anchor="sec:naive">
        <w:r>
          <w:rPr>
            <w:rStyle w:val="Hyperlink"/>
          </w:rPr>
          <w:t xml:space="preserve">5.4</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27"/>
    <w:bookmarkEnd w:id="28"/>
    <w:bookmarkStart w:id="33" w:name="Xda8d21682e316362d5b07bb3551f76cef4a7a1b"/>
    <w:p>
      <w:pPr>
        <w:pStyle w:val="Heading2"/>
      </w:pPr>
      <w:r>
        <w:t xml:space="preserve">Aggregate Speed Advantage Where Both Solve</w:t>
      </w:r>
    </w:p>
    <w:p>
      <w:pPr>
        <w:pStyle w:val="FirstParagraph"/>
      </w:pPr>
      <w:r>
        <w:t xml:space="preserve">Fig. </w:t>
      </w:r>
      <w:hyperlink w:anchor="fig:speedup">
        <w:r>
          <w:rPr>
            <w:rStyle w:val="Hyperlink"/>
          </w:rPr>
          <w:t xml:space="preserve">3</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w:t>
      </w:r>
      <w:r>
        <w:t xml:space="preserve">– 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 </w:t>
      </w:r>
      <w:r>
        <w:t xml:space="preserve">– consistent with</w:t>
      </w:r>
      <w:r>
        <w:t xml:space="preserve"> </w:t>
      </w:r>
      <w:r>
        <w:rPr>
          <w:rStyle w:val="VerbatimChar"/>
        </w:rPr>
        <w:t xml:space="preserve">grid_115</w:t>
      </w:r>
      <w:r>
        <w:t xml:space="preserve"> </w:t>
      </w:r>
      <w:r>
        <w:t xml:space="preserve">in Section </w:t>
      </w:r>
      <w:hyperlink w:anchor="sec:scaling">
        <w:r>
          <w:rPr>
            <w:rStyle w:val="Hyperlink"/>
          </w:rPr>
          <w:t xml:space="preserve">5.3</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given double the budget – a completion advantage, not just a speed one. Across the full 20-grid sample, xfill resolves 19, orca-solver 18, both agree on the sample’s one correct UNSAT proof, and both are stuck only on</w:t>
      </w:r>
      <w:r>
        <w:t xml:space="preserve"> </w:t>
      </w:r>
      <w:r>
        <w:rPr>
          <w:rStyle w:val="VerbatimChar"/>
        </w:rPr>
        <w:t xml:space="preserve">sample_13x13</w:t>
      </w:r>
      <w:r>
        <w:t xml:space="preserve"> </w:t>
      </w:r>
      <w:r>
        <w:t xml:space="preserve">– a narrower gap on success alone than on speed, which is why Sections </w:t>
      </w:r>
      <w:hyperlink w:anchor="sec:scaling">
        <w:r>
          <w:rPr>
            <w:rStyle w:val="Hyperlink"/>
          </w:rPr>
          <w:t xml:space="preserve">5.3</w:t>
        </w:r>
      </w:hyperlink>
      <w:r>
        <w:t xml:space="preserve"> </w:t>
      </w:r>
      <w:r>
        <w:t xml:space="preserve">and </w:t>
      </w:r>
      <w:hyperlink w:anchor="sec:ablation">
        <w:r>
          <w:rPr>
            <w:rStyle w:val="Hyperlink"/>
          </w:rPr>
          <w:t xml:space="preserve">5.7</w:t>
        </w:r>
      </w:hyperlink>
      <w:r>
        <w:t xml:space="preserve"> </w:t>
      </w:r>
      <w:r>
        <w:t xml:space="preserve">use a harder, pre-existing grid list to find where the architectures actually diverge.</w:t>
      </w:r>
    </w:p>
    <w:bookmarkStart w:id="32" w:name="fig:cumulative"/>
    <w:p>
      <w:pPr>
        <w:pStyle w:val="CaptionedFigure"/>
      </w:pPr>
      <w:r>
        <w:drawing>
          <wp:inline>
            <wp:extent cx="5003800" cy="3009900"/>
            <wp:effectExtent b="0" l="0" r="0" t="0"/>
            <wp:docPr descr="" title="" id="30" name="Picture"/>
            <a:graphic>
              <a:graphicData uri="http://schemas.openxmlformats.org/drawingml/2006/picture">
                <pic:pic>
                  <pic:nvPicPr>
                    <pic:cNvPr descr="../benchmarks/urtc2026_testbench/results/figures/fig2_15x15_cumulative.pdf" id="31" name="Picture"/>
                    <pic:cNvPicPr>
                      <a:picLocks noChangeArrowheads="1" noChangeAspect="1"/>
                    </pic:cNvPicPr>
                  </pic:nvPicPr>
                  <pic:blipFill>
                    <a:blip r:embed="rId29"/>
                    <a:stretch>
                      <a:fillRect/>
                    </a:stretch>
                  </pic:blipFill>
                  <pic:spPr bwMode="auto">
                    <a:xfrm>
                      <a:off x="0" y="0"/>
                      <a:ext cx="5003800" cy="3009900"/>
                    </a:xfrm>
                    <a:prstGeom prst="rect">
                      <a:avLst/>
                    </a:prstGeom>
                    <a:noFill/>
                    <a:ln w="9525">
                      <a:noFill/>
                      <a:headEnd/>
                      <a:tailEnd/>
                    </a:ln>
                  </pic:spPr>
                </pic:pic>
              </a:graphicData>
            </a:graphic>
          </wp:inline>
        </w:drawing>
      </w:r>
    </w:p>
    <w:p>
      <w:pPr>
        <w:pStyle w:val="ImageCaption"/>
      </w:pPr>
      <w:r>
        <w:t xml:space="preserve">Cumulative fraction of real 15</w:t>
      </w:r>
      <m:oMath>
        <m:r>
          <m:rPr>
            <m:sty m:val="p"/>
          </m:rPr>
          <m:t>×</m:t>
        </m:r>
      </m:oMath>
      <w:r>
        <w:t xml:space="preserve">15 grids solved by wall time (log scale), 600s cap. The point is the horizontal gap between curves, not the final height: xfill’s curve is shifted roughly two orders of magnitude left of ingrid_core’s and orca-solver’s, meaning it reaches the same solved fraction far sooner across the entire distribution – and it is also the only curve that reaches 1.0, solving all 14.</w:t>
      </w:r>
    </w:p>
    <w:bookmarkEnd w:id="32"/>
    <w:bookmarkEnd w:id="33"/>
    <w:bookmarkStart w:id="38" w:name="sec:exhaustive"/>
    <w:p>
      <w:pPr>
        <w:pStyle w:val="Heading2"/>
      </w:pPr>
      <w:r>
        <w:t xml:space="preserve">Exhaustive Case Study: Proving, Not Just Finding</w:t>
      </w:r>
    </w:p>
    <w:p>
      <w:pPr>
        <w:pStyle w:val="FirstParagraph"/>
      </w:pPr>
      <w:r>
        <w:t xml:space="preserve">Every experiment so far tests</w:t>
      </w:r>
      <w:r>
        <w:t xml:space="preserve"> </w:t>
      </w:r>
      <w:r>
        <w:rPr>
          <w:i/>
          <w:iCs/>
        </w:rPr>
        <w:t xml:space="preserve">finding</w:t>
      </w:r>
      <w:r>
        <w:t xml:space="preserve"> </w:t>
      </w:r>
      <w:r>
        <w:t xml:space="preserve">a solution quickly; partitioning’s genuine non-overlapping coverage (Section </w:t>
      </w:r>
      <w:hyperlink w:anchor="sec:relwork">
        <w:r>
          <w:rPr>
            <w:rStyle w:val="Hyperlink"/>
          </w:rPr>
          <w:t xml:space="preserve">2</w:t>
        </w:r>
      </w:hyperlink>
      <w:r>
        <w:t xml:space="preserve">) should instead matter for</w:t>
      </w:r>
      <w:r>
        <w:t xml:space="preserve"> </w:t>
      </w:r>
      <w:r>
        <w:rPr>
          <w:i/>
          <w:iCs/>
        </w:rPr>
        <w:t xml:space="preserve">proving none exists</w:t>
      </w:r>
      <w:r>
        <w:t xml:space="preserve">. To test this, we constructed by hand a maximally constrained grid – five mutually crossing 15-letter entries, verified against both solvers’ parsers – and ran both to completion with no time limit. Both independently concluded no solution exists: xfill exhausted 2.16 billion nodes over 791 restarts in 76 minutes; orca-solver reported search exhausted after enumerating 224 partitions in 25 minutes, roughly</w:t>
      </w:r>
      <w:r>
        <w:t xml:space="preserve"> </w:t>
      </w:r>
      <m:oMath>
        <m:r>
          <m:t>3</m:t>
        </m:r>
        <m:r>
          <m:rPr>
            <m:sty m:val="p"/>
          </m:rPr>
          <m:t>×</m:t>
        </m:r>
      </m:oMath>
      <w:r>
        <w:t xml:space="preserve"> </w:t>
      </w:r>
      <w:r>
        <w:t xml:space="preserve">faster. This is the one result where partitioning, not the restart portfolio, has the structural advantage – consistent with Section </w:t>
      </w:r>
      <w:hyperlink w:anchor="sec:relwork">
        <w:r>
          <w:rPr>
            <w:rStyle w:val="Hyperlink"/>
          </w:rPr>
          <w:t xml:space="preserve">2</w:t>
        </w:r>
      </w:hyperlink>
      <w:r>
        <w:t xml:space="preserve">.</w:t>
      </w:r>
    </w:p>
    <w:bookmarkStart w:id="37" w:name="fig:ablation"/>
    <w:p>
      <w:pPr>
        <w:pStyle w:val="CaptionedFigure"/>
      </w:pPr>
      <w:r>
        <w:drawing>
          <wp:inline>
            <wp:extent cx="5334000" cy="2286000"/>
            <wp:effectExtent b="0" l="0" r="0" t="0"/>
            <wp:docPr descr="" title="" id="35" name="Picture"/>
            <a:graphic>
              <a:graphicData uri="http://schemas.openxmlformats.org/drawingml/2006/picture">
                <pic:pic>
                  <pic:nvPicPr>
                    <pic:cNvPr descr="../benchmarks/urtc2026_testbench/results/figures/fig4_ablation.pdf" id="36" name="Picture"/>
                    <pic:cNvPicPr>
                      <a:picLocks noChangeArrowheads="1" noChangeAspect="1"/>
                    </pic:cNvPicPr>
                  </pic:nvPicPr>
                  <pic:blipFill>
                    <a:blip r:embed="rId34"/>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Shared-conflict-weight ablation: 6 trials per configuration, 14 threads, on three grids from the same known-hard list as Fig. </w:t>
      </w:r>
      <w:hyperlink w:anchor="fig:scaling">
        <w:r>
          <w:rPr>
            <w:rStyle w:val="Hyperlink"/>
          </w:rPr>
          <w:t xml:space="preserve">1</w:t>
        </w:r>
      </w:hyperlink>
      <w:r>
        <w:t xml:space="preserve"> </w:t>
      </w:r>
      <w:r>
        <w:t xml:space="preserve">that are fast enough to repeat. Grey = mechanism off, blue = on (this paper’s default). Bars mark the median; the spread is the finding.</w:t>
      </w:r>
    </w:p>
    <w:bookmarkEnd w:id="37"/>
    <w:bookmarkEnd w:id="38"/>
    <w:bookmarkStart w:id="39" w:name="sec:ablation"/>
    <w:p>
      <w:pPr>
        <w:pStyle w:val="Heading2"/>
      </w:pPr>
      <w:r>
        <w:t xml:space="preserve">Isolating the Mechanism: A Shared-Weight Ablation</w:t>
      </w:r>
    </w:p>
    <w:p>
      <w:pPr>
        <w:pStyle w:val="FirstParagraph"/>
      </w:pPr>
      <w:r>
        <w:t xml:space="preserve">Everything above tests xfill’s architecture against a different codebase’s. This section instead tests xfill against itself, with one environment variable flipped: same solver, same grid, same dictionary, same 14 threads,</w:t>
      </w:r>
      <w:r>
        <w:t xml:space="preserve"> </w:t>
      </w:r>
      <w:r>
        <w:rPr>
          <w:rStyle w:val="VerbatimChar"/>
        </w:rPr>
        <w:t xml:space="preserve">XFILL_DISABLE_SHARED_WEIGHTS</w:t>
      </w:r>
      <w:r>
        <w:t xml:space="preserve"> </w:t>
      </w:r>
      <w:r>
        <w:t xml:space="preserve">on and off, 6 trials each, on three grids from the known-hard list fast enough to repeat.</w:t>
      </w:r>
    </w:p>
    <w:p>
      <w:pPr>
        <w:pStyle w:val="BodyText"/>
      </w:pPr>
      <w:r>
        <w:t xml:space="preserve">Fig. </w:t>
      </w:r>
      <w:hyperlink w:anchor="fig:ablation">
        <w:r>
          <w:rPr>
            <w:rStyle w:val="Hyperlink"/>
          </w:rPr>
          <w:t xml:space="preserve">5</w:t>
        </w:r>
      </w:hyperlink>
      <w:r>
        <w:t xml:space="preserve"> </w:t>
      </w:r>
      <w:r>
        <w:t xml:space="preserve">does</w:t>
      </w:r>
      <w:r>
        <w:t xml:space="preserve"> </w:t>
      </w:r>
      <w:r>
        <w:rPr>
          <w:i/>
          <w:iCs/>
        </w:rPr>
        <w:t xml:space="preserve">not</w:t>
      </w:r>
      <w:r>
        <w:t xml:space="preserve"> </w:t>
      </w:r>
      <w:r>
        <w:t xml:space="preserve">show a uniform win for the mechanism on this specific, especially-hard grid subset, and we report that plainly rather than around it. On</w:t>
      </w:r>
      <w:r>
        <w:t xml:space="preserve"> </w:t>
      </w:r>
      <w:r>
        <w:rPr>
          <w:rStyle w:val="VerbatimChar"/>
        </w:rPr>
        <w:t xml:space="preserve">grid_053</w:t>
      </w:r>
      <w:r>
        <w:t xml:space="preserve">, the unshared baseline is both faster on the median (0.72s vs. 2.77s) and far tighter (range 0.66–0.76s vs. 0.07–3.71s). On</w:t>
      </w:r>
      <w:r>
        <w:t xml:space="preserve"> </w:t>
      </w:r>
      <w:r>
        <w:rPr>
          <w:rStyle w:val="VerbatimChar"/>
        </w:rPr>
        <w:t xml:space="preserve">grid_058</w:t>
      </w:r>
      <w:r>
        <w:t xml:space="preserve">, the medians are close but shared weights again show wider spread. On</w:t>
      </w:r>
      <w:r>
        <w:t xml:space="preserve"> </w:t>
      </w:r>
      <w:r>
        <w:rPr>
          <w:rStyle w:val="VerbatimChar"/>
        </w:rPr>
        <w:t xml:space="preserve">grid_120</w:t>
      </w:r>
      <w:r>
        <w:t xml:space="preserve">, shared weights reach a lower best case (2.75s vs. 8.36s minimum) but also produce the only outright timeout of the eighteen trials shown. Set against Section </w:t>
      </w:r>
      <w:hyperlink w:anchor="sec:arch">
        <w:r>
          <w:rPr>
            <w:rStyle w:val="Hyperlink"/>
          </w:rPr>
          <w:t xml:space="preserve">3</w:t>
        </w:r>
      </w:hyperlink>
      <w:r>
        <w:t xml:space="preserve">’s broader-corpus finding – a consistent win across moderate-difficulty grids – the synthesis is that this mechanism’s benefit is regime-dependent: it helps on typical grids by redistributing which crossings each worker deprioritizes, but on grids already at the extreme difficulty end it trades a tight, well-behaved variance for a wider one that is not reliably better on net. We have no evidence for a clean win here, so we do not claim one – the same standard Section </w:t>
      </w:r>
      <w:hyperlink w:anchor="sec:negative">
        <w:r>
          <w:rPr>
            <w:rStyle w:val="Hyperlink"/>
          </w:rPr>
          <w:t xml:space="preserve">4</w:t>
        </w:r>
      </w:hyperlink>
      <w:r>
        <w:t xml:space="preserve"> </w:t>
      </w:r>
      <w:r>
        <w:t xml:space="preserve">applies to the heuristics it rules out.</w:t>
      </w:r>
    </w:p>
    <w:bookmarkEnd w:id="39"/>
    <w:bookmarkEnd w:id="40"/>
    <w:bookmarkStart w:id="41" w:name="discussion"/>
    <w:p>
      <w:pPr>
        <w:pStyle w:val="Heading1"/>
      </w:pPr>
      <w:r>
        <w:t xml:space="preserve">Discussion</w:t>
      </w:r>
    </w:p>
    <w:p>
      <w:pPr>
        <w:pStyle w:val="FirstParagraph"/>
      </w:pPr>
      <w:r>
        <w:t xml:space="preserve">The architectural comparison and the mechanism ablation share the same underlying cause. Restart portfolios benefit from heavy-tailed runtimes: more independent draws raise the chance of an early lucky one, which is why oversubscribing thread count helped in Section </w:t>
      </w:r>
      <w:hyperlink w:anchor="sec:oversub">
        <w:r>
          <w:rPr>
            <w:rStyle w:val="Hyperlink"/>
          </w:rPr>
          <w:t xml:space="preserve">5.2</w:t>
        </w:r>
      </w:hyperlink>
      <w:r>
        <w:t xml:space="preserve"> </w:t>
      </w:r>
      <w:r>
        <w:t xml:space="preserve">and Fig. </w:t>
      </w:r>
      <w:hyperlink w:anchor="fig:scaling">
        <w:r>
          <w:rPr>
            <w:rStyle w:val="Hyperlink"/>
          </w:rPr>
          <w:t xml:space="preserve">1</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3</w:t>
        </w:r>
      </w:hyperlink>
      <w:r>
        <w:t xml:space="preserve">) goes further – more draws can succeed where a fixed partition, given equal time, structurally cannot. Partitioned search instead gives genuine non-overlapping coverage, which is what Section </w:t>
      </w:r>
      <w:hyperlink w:anchor="sec:exhaustive">
        <w:r>
          <w:rPr>
            <w:rStyle w:val="Hyperlink"/>
          </w:rPr>
          <w:t xml:space="preserve">5.6</w:t>
        </w:r>
      </w:hyperlink>
      <w:r>
        <w:t xml:space="preserve">’s proof of unsatisfiability required. The same heavy-tailedness explains Fig. </w:t>
      </w:r>
      <w:hyperlink w:anchor="fig:ablation">
        <w:r>
          <w:rPr>
            <w:rStyle w:val="Hyperlink"/>
          </w:rPr>
          <w:t xml:space="preserve">5</w:t>
        </w:r>
      </w:hyperlink>
      <w:r>
        <w:t xml:space="preserve">’s mixed result: shared conflict weights change which draw from the tail each worker takes, which can as easily land on a worse draw as a better one on a single hard instance, and only nets out as an improvement once averaged over a broader, typical corpus.</w:t>
      </w:r>
    </w:p>
    <w:bookmarkEnd w:id="41"/>
    <w:bookmarkStart w:id="42"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neither the thread-scaling numbers nor Section </w:t>
      </w:r>
      <w:hyperlink w:anchor="sec:exhaustive">
        <w:r>
          <w:rPr>
            <w:rStyle w:val="Hyperlink"/>
          </w:rPr>
          <w:t xml:space="preserve">5.6</w:t>
        </w:r>
      </w:hyperlink>
      <w:r>
        <w:t xml:space="preserve">’s unsatisfiability result should be read as hardware- or dictionary-independent claims.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Nothing about it is specific to crossword filling: it needs only a wdeg-style weight table and a restart loop, both already common in CSP and lazy-clause-generation solvers. We also reported a negative result from the same codebase – five heuristics rendered indistinguishable by a precondition that kept them from ever executing – as a reusable caution for comparing branching heuristics by benchmark score alone.</w:t>
      </w:r>
    </w:p>
    <w:bookmarkEnd w:id="42"/>
    <w:bookmarkStart w:id="44" w:name="acknowledgment"/>
    <w:p>
      <w:pPr>
        <w:pStyle w:val="Heading1"/>
      </w:pPr>
      <w:r>
        <w:t xml:space="preserve">Acknowledgment</w:t>
      </w:r>
    </w:p>
    <w:p>
      <w:pPr>
        <w:pStyle w:val="FirstParagraph"/>
      </w:pPr>
      <w:r>
        <w:t xml:space="preserve">[Advisor/funding acknowledgments.]</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Canada, 2016.</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hyperlink r:id="rId43">
        <w:r>
          <w:rPr>
            <w:rStyle w:val="Hyperlink"/>
          </w:rPr>
          <w:t xml:space="preserve">crosswordgrids.com/15x15-crossword-grids</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df" /><Relationship Type="http://schemas.openxmlformats.org/officeDocument/2006/relationships/image" Id="rId24" Target="media/rId24.pdf" /><Relationship Type="http://schemas.openxmlformats.org/officeDocument/2006/relationships/image" Id="rId29" Target="media/rId29.pdf" /><Relationship Type="http://schemas.openxmlformats.org/officeDocument/2006/relationships/image" Id="rId34" Target="media/rId34.pdf" /><Relationship Type="http://schemas.openxmlformats.org/officeDocument/2006/relationships/image" Id="rId14" Target="media/rId14.pdf" /><Relationship Type="http://schemas.openxmlformats.org/officeDocument/2006/relationships/hyperlink" Id="rId43" Target="crosswordgrids.com/15x15-crossword-grids" TargetMode="External" /></Relationships>
</file>

<file path=word/_rels/footnotes.xml.rels><?xml version="1.0" encoding="UTF-8"?><Relationships xmlns="http://schemas.openxmlformats.org/package/2006/relationships"><Relationship Type="http://schemas.openxmlformats.org/officeDocument/2006/relationships/hyperlink" Id="rId43" Target="crosswordgrids.com/15x15-crossword-gri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Conflict Weights Without Partitioning: A Concurrent dom/wdeg Portfolio for Word-Level Crossword Filling</dc:title>
  <dc:creator/>
  <cp:keywords/>
  <dcterms:created xsi:type="dcterms:W3CDTF">2026-08-06T19:45:21Z</dcterms:created>
  <dcterms:modified xsi:type="dcterms:W3CDTF">2026-08-06T19:45:21Z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14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