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1.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oversubscribing thread count past physical core count consistently helps xfill, on one hard grid by roughly</w:t>
      </w:r>
      <w:r>
        <w:t xml:space="preserve"> </w:t>
      </w:r>
      <m:oMath>
        <m:r>
          <m:t>65</m:t>
        </m:r>
        <m:r>
          <m:rPr>
            <m:sty m:val="p"/>
          </m:rPr>
          <m:t>×</m:t>
        </m:r>
      </m:oMath>
      <w:r>
        <w:t xml:space="preserve"> </w:t>
      </w:r>
      <w:r>
        <w:t xml:space="preserve">from 1 to 42 threads, while orca-solver improves only marginally over the same range and cannot solve it at all below 14 threads.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natural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primarily about crossword filling. It uses crossword filling as the setting for a narrower question in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We show this combination is distinct from the closest points in the literature, implement it, and measure its effect against both sophisticated and naive alternatives on a reproducible testbench.</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benchmark testbench, checked into the project repository, comparing xfill against orca-solver, ingrid_core, and two independent open-source baselines on a fixed, size-graded grid set; and (3) a methodological negative result about validating that a heuristic under test actually executes before trusting a benchmark comparison of it.</w:t>
      </w:r>
    </w:p>
    <w:bookmarkEnd w:id="9"/>
    <w:bookmarkStart w:id="10" w:name="background-and-related-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groups of prior CSP work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III occupies the gap these leave: concurrent (unlike Grimes and Wallace), soft (unlike Ehlers and Stuckey), and never used to partition (unlike Yun and Epstein).</w:t>
      </w:r>
    </w:p>
    <w:bookmarkEnd w:id="10"/>
    <w:bookmarkStart w:id="11" w:name="system-architecture"/>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guaranteeing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(the dedicated exhaustive worker is excluded). Every worker increments a crossing’s counter on wipeout and reads every counter when scoring candidates. The shared counters are plain, order-independent atomic increments rather than a decaying scheme – a decaying normalizer depends on the exact sequence of prior updates, race-free only with a single writer, whereas concurrent writers need an order-independent update rule. The dedicated exhaustive worker neither reads nor writes the shared array: wiring it in measurably regressed the one grid in our corpus it uniquely solved, since its entire value lies in one undisturbed trajectory. Two correctness properties were required before the resulting numbers meant anything: single-threaded calls must stay byte-identical to the unshared baseline (gated on thread count</w:t>
      </w:r>
      <w:r>
        <w:t xml:space="preserve"> </w:t>
      </w:r>
      <m:oMath>
        <m:r>
          <m:rPr>
            <m:sty m:val="p"/>
          </m:rPr>
          <m:t>&gt;</m:t>
        </m:r>
        <m:r>
          <m:t>1</m:t>
        </m:r>
      </m:oMath>
      <w:r>
        <w:t xml:space="preserve">), and ThreadSanitizer, run against real multi-threaded solves, reported no data races – consistent with every update being independent and order-free. In earlier development-time testing across a broader corpus of moderate-difficulty grids (documented at commit-level detail in this repository’s</w:t>
      </w:r>
      <w:r>
        <w:t xml:space="preserve"> </w:t>
      </w:r>
      <w:r>
        <w:rPr>
          <w:rStyle w:val="VerbatimChar"/>
        </w:rPr>
        <w:t xml:space="preserve">docs/design.md</w:t>
      </w:r>
      <w:r>
        <w:t xml:space="preserve">), this mechanism reduced solve time broadly rather than on an isolated case – one grid from 12.5s to 0.7s, another from 1.2s to 0.1s, a third newly solved within its time cap – which we revisit against a targeted, harder-instance ablation in Section </w:t>
      </w:r>
      <w:hyperlink w:anchor="sec:ablation">
        <w:r>
          <w:rPr>
            <w:rStyle w:val="Hyperlink"/>
          </w:rPr>
          <w:t xml:space="preserve">5.7</w:t>
        </w:r>
      </w:hyperlink>
      <w:r>
        <w:t xml:space="preserve">.</w:t>
      </w:r>
    </w:p>
    <w:bookmarkEnd w:id="11"/>
    <w:bookmarkStart w:id="12" w:name="Xd7822a03cf4fad33f75593d96c2b5eda6e21e88"/>
    <w:p>
      <w:pPr>
        <w:pStyle w:val="Heading1"/>
      </w:pPr>
      <w:r>
        <w:t xml:space="preserve">A Negative Result: Branching on the Wrong Thing</w:t>
      </w:r>
    </w:p>
    <w:p>
      <w:pPr>
        <w:pStyle w:val="FirstParagraph"/>
      </w:pPr>
      <w:r>
        <w:t xml:space="preserve">Prompted by a loss against orca-solver on a difficult</w:t>
      </w:r>
      <w:r>
        <w:t xml:space="preserve"> </w:t>
      </w:r>
      <m:oMath>
        <m:r>
          <m:t>7</m:t>
        </m:r>
        <m:r>
          <m:rPr>
            <m:sty m:val="p"/>
          </m:rPr>
          <m:t>×</m:t>
        </m:r>
        <m:r>
          <m:t>7</m:t>
        </m:r>
      </m:oMath>
      <w:r>
        <w:t xml:space="preserve"> </w:t>
      </w:r>
      <w:r>
        <w:t xml:space="preserve">grid (Section V), we implemented five letter-level branching variants – two minimum-remaining-value scoring rules, a faithful reimplementation of orca-solver’s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and warranted checking rather than reporting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they were being compared, which is exactly why comparing their benchmark scores could not have distinguished them. The actual bottleneck – found only after ruling out the large-domain branch – was the small-domain branch’s fixed word ordering; extending the solver’s existing restart-randomization flag to that branch is what produced the improvements in Section V. We report this as a reusable methodological point: an A/B comparison of branching heuristics is only informative once the branch under test is confirmed, by direct instrumentation, to actually execute.</w:t>
      </w:r>
    </w:p>
    <w:bookmarkEnd w:id="12"/>
    <w:bookmarkStart w:id="37" w:name="experiments"/>
    <w:p>
      <w:pPr>
        <w:pStyle w:val="Heading1"/>
      </w:pPr>
      <w:r>
        <w:t xml:space="preserve">Experiments</w:t>
      </w:r>
    </w:p>
    <w:bookmarkStart w:id="14" w:name="setup"/>
    <w:p>
      <w:pPr>
        <w:pStyle w:val="Heading2"/>
      </w:pPr>
      <w:r>
        <w:t xml:space="preserve">Setup</w:t>
      </w:r>
    </w:p>
    <w:p>
      <w:pPr>
        <w:pStyle w:val="FirstParagraph"/>
      </w:pPr>
      <w:r>
        <w:rPr>
          <w:b/>
          <w:bCs/>
        </w:rPr>
        <w:t xml:space="preserve">Solvers.</w:t>
      </w:r>
      <w:r>
        <w:t xml:space="preserve"> </w:t>
      </w:r>
      <w:r>
        <w:t xml:space="preserve">xfill (this work); orca-solver, an independently developed partition-based parallel solver treated as a black box; ingrid_core, a single-threaded reference solver; and, to contrast sophisticated architectures against unmodified naive ones, two open-source backtrackers with no restarts, no learned heuristics, and no parallelism: crossword-composer (a static-constraint-order Rust backtracker) and savin_crossword (a textbook AC-3-plus-backtracking Python implementation). All five are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(never a paid one), with a fixed random seed and a uniform 30-second cap – fully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 15</w:t>
      </w:r>
      <m:oMath>
        <m:r>
          <m:rPr>
            <m:sty m:val="p"/>
          </m:rPr>
          <m:t>×</m:t>
        </m:r>
      </m:oMath>
      <w:r>
        <w:t xml:space="preserve">15 grids from a real, previously scraped corpus, all already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orca-solver’s single-threaded baseline is 201.7s).</w:t>
      </w:r>
    </w:p>
    <w:tbl>
      <w:tblPr>
        <w:tblStyle w:val="Table"/>
        <w:tblW w:type="auto" w:w="0"/>
        <w:tblLook w:firstRow="1" w:lastRow="0" w:firstColumn="0" w:lastColumn="0" w:noHBand="0" w:noVBand="0" w:val="0020"/>
        <w:tblCaption w:val="Thread count vs. wall time on a known-hard 7\times7 grid (single sample; orca-solver’s single-threaded baseline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Oversubscription on a Known-Hard Grid</w:t>
      </w:r>
    </w:p>
    <w:p>
      <w:pPr>
        <w:pStyle w:val="FirstParagraph"/>
      </w:pPr>
      <w:r>
        <w:t xml:space="preserve">Table </w:t>
      </w:r>
      <w:hyperlink w:anchor="tab:threads">
        <w:r>
          <w:rPr>
            <w:rStyle w:val="Hyperlink"/>
          </w:rPr>
          <w:t xml:space="preserve">1</w:t>
        </w:r>
      </w:hyperlink>
      <w:r>
        <w:t xml:space="preserve"> </w:t>
      </w:r>
      <w:r>
        <w:t xml:space="preserve">shows wall time on a known-hard, previously published</w:t>
      </w:r>
      <w:r>
        <w:t xml:space="preserve"> </w:t>
      </w:r>
      <m:oMath>
        <m:r>
          <m:t>7</m:t>
        </m:r>
        <m:r>
          <m:rPr>
            <m:sty m:val="p"/>
          </m:rPr>
          <m:t>×</m:t>
        </m:r>
        <m:r>
          <m:t>7</m:t>
        </m:r>
      </m:oMath>
      <w:r>
        <w:t xml:space="preserve"> </w:t>
      </w:r>
      <w:r>
        <w:t xml:space="preserve">grid (two pre-filled letters, no blocked cells) as thread count exceeds this machine’s 14 physical cores. Every oversubscribed configuration beats orca-solver’s single-threaded baseline; 42 threads (3</w:t>
      </w:r>
      <m:oMath>
        <m:r>
          <m:rPr>
            <m:sty m:val="p"/>
          </m:rPr>
          <m:t>×</m:t>
        </m:r>
      </m:oMath>
      <w:r>
        <w:t xml:space="preserve"> </w:t>
      </w:r>
      <w:r>
        <w:t xml:space="preserve">physical cores) is fastest, with contention visibly eroding the gain by 56.</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Thread-Count Scaling on Hard Grids</w:t>
      </w:r>
    </w:p>
    <w:p>
      <w:pPr>
        <w:pStyle w:val="FirstParagraph"/>
      </w:pPr>
      <w:r>
        <w:t xml:space="preserve">Table </w:t>
      </w:r>
      <w:hyperlink w:anchor="tab:threads">
        <w:r>
          <w:rPr>
            <w:rStyle w:val="Hyperlink"/>
          </w:rPr>
          <w:t xml:space="preserve">1</w:t>
        </w:r>
      </w:hyperlink>
      <w:r>
        <w:t xml:space="preserve"> </w:t>
      </w:r>
      <w:r>
        <w:t xml:space="preserve">is one grid; Fig. </w:t>
      </w:r>
      <w:hyperlink w:anchor="fig:scaling">
        <w:r>
          <w:rPr>
            <w:rStyle w:val="Hyperlink"/>
          </w:rPr>
          <w:t xml:space="preserve">1</w:t>
        </w:r>
      </w:hyperlink>
      <w:r>
        <w:t xml:space="preserve"> </w:t>
      </w:r>
      <w:r>
        <w:t xml:space="preserve">repeats the experiment across three grids drawn from this project’s own pre-existing "known hard" list (identified in earlier development-time testing, predating this paper, and reused rather than cherry-picked for it), at 1 through 42 threads, for both xfill and orca-solver. The three panels show three different regimes, not one story averaged away: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a</w:t>
      </w:r>
      <w:r>
        <w:t xml:space="preserve"> </w:t>
      </w:r>
      <m:oMath>
        <m:r>
          <m:t>1.5</m:t>
        </m:r>
        <m:r>
          <m:rPr>
            <m:sty m:val="p"/>
          </m:rPr>
          <m:t>×</m:t>
        </m:r>
      </m:oMath>
      <w:r>
        <w:t xml:space="preserve"> </w:t>
      </w:r>
      <w:r>
        <w:t xml:space="preserve">improvement at best;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an honest reminder that not every grid favors either architecture.</w:t>
      </w:r>
      <w:r>
        <w:t xml:space="preserve"> </w:t>
      </w:r>
      <w:r>
        <w:rPr>
          <w:rStyle w:val="VerbatimChar"/>
        </w:rPr>
        <w:t xml:space="preserve">grid_120</w:t>
      </w:r>
      <w:r>
        <w:t xml:space="preserve"> </w:t>
      </w:r>
      <w:r>
        <w:t xml:space="preserve">is the cleanest demonstration in this paper of what a non-partitioning restart portfolio buys: capacity to absorb far more parallelism than the physical core count without restructuring the search, which a partition-based design here does not exhibit to nearly the same degree.</w:t>
      </w:r>
    </w:p>
    <w:bookmarkStart w:id="23" w:name="fig:size"/>
    <w:p>
      <w:pPr>
        <w:pStyle w:val="CaptionedFigure"/>
      </w:pPr>
      <w:r>
        <w:drawing>
          <wp:inline>
            <wp:extent cx="5334000" cy="2709526"/>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709526"/>
                    </a:xfrm>
                    <a:prstGeom prst="rect">
                      <a:avLst/>
                    </a:prstGeom>
                    <a:noFill/>
                    <a:ln w="9525">
                      <a:noFill/>
                      <a:headEnd/>
                      <a:tailEnd/>
                    </a:ln>
                  </pic:spPr>
                </pic:pic>
              </a:graphicData>
            </a:graphic>
          </wp:inline>
        </w:drawing>
      </w:r>
    </w:p>
    <w:p>
      <w:pPr>
        <w:pStyle w:val="ImageCaption"/>
      </w:pPr>
      <w:r>
        <w:t xml:space="preserve">Solve success on the size-graded curated grid set, 30s cap – making the point that the two naive baselines fail for structurally</w:t>
      </w:r>
      <w:r>
        <w:t xml:space="preserve"> </w:t>
      </w:r>
      <w:r>
        <w:rPr>
          <w:i/>
          <w:iCs/>
        </w:rPr>
        <w:t xml:space="preserve">different</w:t>
      </w:r>
      <w:r>
        <w:t xml:space="preserve"> </w:t>
      </w:r>
      <w:r>
        <w:t xml:space="preserve">reasons, not merely "worse": crossword-composer succeeds intermittently regardless of size (an instance-specific failure), while savin_crossword (bar height 0 throughout) never appears at any size at all (a dictionary-scale failure). Neither pattern would be visible from a single summary number.</w:t>
      </w:r>
    </w:p>
    <w:bookmarkEnd w:id="23"/>
    <w:bookmarkEnd w:id="24"/>
    <w:bookmarkStart w:id="29" w:name="scaling-and-naive-baselines"/>
    <w:p>
      <w:pPr>
        <w:pStyle w:val="Heading2"/>
      </w:pPr>
      <w:r>
        <w:t xml:space="preserve">Scaling and Naive Baselines</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single grid, including the trivial</w:t>
      </w:r>
      <w:r>
        <w:t xml:space="preserve"> </w:t>
      </w:r>
      <m:oMath>
        <m:r>
          <m:t>5</m:t>
        </m:r>
        <m:r>
          <m:rPr>
            <m:sty m:val="p"/>
          </m:rPr>
          <m:t>×</m:t>
        </m:r>
        <m:r>
          <m:t>5</m:t>
        </m:r>
      </m:oMath>
      <w:r>
        <w:t xml:space="preserve">. Fig. </w:t>
      </w:r>
      <w:hyperlink w:anchor="fig:size">
        <w:r>
          <w:rPr>
            <w:rStyle w:val="Hyperlink"/>
          </w:rPr>
          <w:t xml:space="preserve">2</w:t>
        </w:r>
      </w:hyperlink>
      <w:r>
        <w:t xml:space="preserve"> </w:t>
      </w:r>
      <w:r>
        <w:t xml:space="preserve">makes the mechanism behind that gap visible rather than just the outcome: crossword-composer’s failures are instance-specific (it solves some</w:t>
      </w:r>
      <w:r>
        <w:t xml:space="preserve"> </w:t>
      </w:r>
      <m:oMath>
        <m:r>
          <m:t>15</m:t>
        </m:r>
        <m:r>
          <m:rPr>
            <m:sty m:val="p"/>
          </m:rPr>
          <m:t>×</m:t>
        </m:r>
        <m:r>
          <m:t>15</m:t>
        </m:r>
      </m:oMath>
      <w:r>
        <w:t xml:space="preserve">s and small grids alike, timing out unpredictably elsewhere), consistent with having no restart to recover from a single bad static variable-ordering choice computed once up front. savin_crossword’s uniform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grid size, since domain sizes before any grid-driven narrowing are already large. Both are real, unmodified, independently authored solvers; the gap is what restarts, adaptive heuristics, and (for xfill/orca-solver) parallelism buy at dictionary and grid sizes that matter in practice.</w:t>
      </w:r>
    </w:p>
    <w:bookmarkStart w:id="28" w:name="fig:cumulative"/>
    <w:p>
      <w:pPr>
        <w:pStyle w:val="CaptionedFigure"/>
      </w:pPr>
      <w:r>
        <w:drawing>
          <wp:inline>
            <wp:extent cx="5003800" cy="3009900"/>
            <wp:effectExtent b="0" l="0" r="0" t="0"/>
            <wp:docPr descr="" title="" id="26" name="Picture"/>
            <a:graphic>
              <a:graphicData uri="http://schemas.openxmlformats.org/drawingml/2006/picture">
                <pic:pic>
                  <pic:nvPicPr>
                    <pic:cNvPr descr="../benchmarks/urtc2026_testbench/results/figures/fig2_15x15_cumulative.pdf" id="27" name="Picture"/>
                    <pic:cNvPicPr>
                      <a:picLocks noChangeArrowheads="1" noChangeAspect="1"/>
                    </pic:cNvPicPr>
                  </pic:nvPicPr>
                  <pic:blipFill>
                    <a:blip r:embed="rId25"/>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is not just eventually as successful but reaches the same solved fraction far sooner across the entire distribution, not only in a best-case tail.</w:t>
      </w:r>
    </w:p>
    <w:bookmarkEnd w:id="28"/>
    <w:bookmarkEnd w:id="29"/>
    <w:bookmarkStart w:id="30" w:name="real-grids"/>
    <w:p>
      <w:pPr>
        <w:pStyle w:val="Heading2"/>
      </w:pPr>
      <w:r>
        <w:t xml:space="preserve">Real Grids</w:t>
      </w:r>
    </w:p>
    <w:p>
      <w:pPr>
        <w:pStyle w:val="FirstParagraph"/>
      </w:pPr>
      <w:r>
        <w:t xml:space="preserve">On this specific 20-grid sample, orca-solver never uniquely solves a grid xfill fails on, while xfill uniquely solves one orca-solver cannot within the cap (both also agree on 16 solves and one correct UNSAT proof, and are jointly stuck on 2). That near-total overlap is itself informative: it shows this particular sample is not hard enough to separate the two architectures, which is exactly why Sections V-C and V-G instead use a deliberately harder, pre-existing grid list to find where they actually diverge, rather than relying on this sample alone to make that case.</w:t>
      </w:r>
    </w:p>
    <w:bookmarkEnd w:id="30"/>
    <w:bookmarkStart w:id="35" w:name="exhaustive-case-study"/>
    <w:p>
      <w:pPr>
        <w:pStyle w:val="Heading2"/>
      </w:pPr>
      <w:r>
        <w:t xml:space="preserve">Exhaustive Case Study</w:t>
      </w:r>
    </w:p>
    <w:p>
      <w:pPr>
        <w:pStyle w:val="FirstParagraph"/>
      </w:pPr>
      <w:r>
        <w:t xml:space="preserve">To test proof capability rather than only positive results, we constructed by hand a grid designed to be maximally constrained: five mutually crossing 15-letter entries, verified cell-by-cell against both solvers’ own parsers. Run to completion with no time limit, both solvers independently concluded no solution exists: xfill exhausted 2.16 billion nodes over 791 restarts in 76 minutes; orca-solver reported search exhausted after enumerating 224 partitions in 25 minutes – roughly</w:t>
      </w:r>
      <w:r>
        <w:t xml:space="preserve"> </w:t>
      </w:r>
      <m:oMath>
        <m:r>
          <m:t>3</m:t>
        </m:r>
        <m:r>
          <m:rPr>
            <m:sty m:val="p"/>
          </m:rPr>
          <m:t>×</m:t>
        </m:r>
      </m:oMath>
      <w:r>
        <w:t xml:space="preserve"> </w:t>
      </w:r>
      <w:r>
        <w:t xml:space="preserve">faster, consistent with partitioning’s non-overlapping coverage being a more direct route to a proof than restart-based search’s redundant one.</w:t>
      </w:r>
    </w:p>
    <w:bookmarkStart w:id="34" w:name="fig:ablation"/>
    <w:p>
      <w:pPr>
        <w:pStyle w:val="CaptionedFigure"/>
      </w:pPr>
      <w:r>
        <w:drawing>
          <wp:inline>
            <wp:extent cx="5334000" cy="2286000"/>
            <wp:effectExtent b="0" l="0" r="0" t="0"/>
            <wp:docPr descr="" title="" id="32" name="Picture"/>
            <a:graphic>
              <a:graphicData uri="http://schemas.openxmlformats.org/drawingml/2006/picture">
                <pic:pic>
                  <pic:nvPicPr>
                    <pic:cNvPr descr="../benchmarks/urtc2026_testbench/results/figures/fig4_ablation.pdf" id="33" name="Picture"/>
                    <pic:cNvPicPr>
                      <a:picLocks noChangeArrowheads="1" noChangeAspect="1"/>
                    </pic:cNvPicPr>
                  </pic:nvPicPr>
                  <pic:blipFill>
                    <a:blip r:embed="rId31"/>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4"/>
    <w:bookmarkEnd w:id="35"/>
    <w:bookmarkStart w:id="36" w:name="sec:ablation"/>
    <w:p>
      <w:pPr>
        <w:pStyle w:val="Heading2"/>
      </w:pPr>
      <w:r>
        <w:t xml:space="preserve">Isolating the Mechanism: A Shared-Weight Ablation</w:t>
      </w:r>
    </w:p>
    <w:p>
      <w:pPr>
        <w:pStyle w:val="FirstParagraph"/>
      </w:pPr>
      <w:r>
        <w:t xml:space="preserve">Section III and Sections </w:t>
      </w:r>
      <w:hyperlink w:anchor="sec:oversub">
        <w:r>
          <w:rPr>
            <w:rStyle w:val="Hyperlink"/>
          </w:rPr>
          <w:t xml:space="preserve">5.2</w:t>
        </w:r>
      </w:hyperlink>
      <w:r>
        <w:t xml:space="preserve">–</w:t>
      </w:r>
      <w:hyperlink w:anchor="sec:scaling">
        <w:r>
          <w:rPr>
            <w:rStyle w:val="Hyperlink"/>
          </w:rPr>
          <w:t xml:space="preserve">5.3</w:t>
        </w:r>
      </w:hyperlink>
      <w:r>
        <w:t xml:space="preserve"> </w:t>
      </w:r>
      <w:r>
        <w:t xml:space="preserve">establish that xfill’s architecture and its ability to absorb heavy parallelism are real advantages over orca-solver. To test the paper’s specific mechanism in isolation – not xfill versus a different codebase, but xfill against itself with one environment variable flipped – we ran the same grid, same dictionary, same 14 threads, with</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 We report this honestly rather than selectively: Fig. </w:t>
      </w:r>
      <w:hyperlink w:anchor="fig:ablation">
        <w:r>
          <w:rPr>
            <w:rStyle w:val="Hyperlink"/>
          </w:rPr>
          <w:t xml:space="preserve">4</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On</w:t>
      </w:r>
      <w:r>
        <w:t xml:space="preserve"> </w:t>
      </w:r>
      <w:r>
        <w:rPr>
          <w:rStyle w:val="VerbatimChar"/>
        </w:rPr>
        <w:t xml:space="preserve">grid_053</w:t>
      </w:r>
      <w:r>
        <w:t xml:space="preserve"> </w:t>
      </w:r>
      <w:r>
        <w:t xml:space="preserve">the unshared baseline is both faster on the median (0.72s vs. 2.77s) and far tighter (range 0.66–0.76s vs. 0.07–3.71s); on</w:t>
      </w:r>
      <w:r>
        <w:t xml:space="preserve"> </w:t>
      </w:r>
      <w:r>
        <w:rPr>
          <w:rStyle w:val="VerbatimChar"/>
        </w:rPr>
        <w:t xml:space="preserve">grid_058</w:t>
      </w:r>
      <w:r>
        <w:t xml:space="preserve"> </w:t>
      </w:r>
      <w:r>
        <w:t xml:space="preserve">the medians are close but shared weights again show wider spread; on</w:t>
      </w:r>
      <w:r>
        <w:t xml:space="preserve"> </w:t>
      </w:r>
      <w:r>
        <w:rPr>
          <w:rStyle w:val="VerbatimChar"/>
        </w:rPr>
        <w:t xml:space="preserve">grid_120</w:t>
      </w:r>
      <w:r>
        <w:t xml:space="preserve"> </w:t>
      </w:r>
      <w:r>
        <w:t xml:space="preserve">shared weights reach a lower best case (2.75s vs. 8.36s minimum) but also produce the only outright timeout of the eighteen trials shown. Read together with Section III’s earlier, broader-corpus finding (a consistent win across a general sample of moderate-difficulty grids, reported at commit-level detail in this repository’s</w:t>
      </w:r>
      <w:r>
        <w:t xml:space="preserve"> </w:t>
      </w:r>
      <w:r>
        <w:rPr>
          <w:rStyle w:val="VerbatimChar"/>
        </w:rPr>
        <w:t xml:space="preserve">docs/design.md</w:t>
      </w:r>
      <w:r>
        <w:t xml:space="preserve">), the honest synthesis is that this mechanism’s benefit is corpus- and regime-dependent: it helps broadly on typical grids by redistributing which crossings each worker deprioritizes, but on grids already at the extreme difficulty end, it appears to trade a tighter, well-behaved variance for a wider one that is not reliably better on net. We see no principled way to present this as a clean win on this specific evidence, and reporting a negative or mixed ablation honestly is itself consistent with Section IV’s methodological stance.</w:t>
      </w:r>
    </w:p>
    <w:bookmarkEnd w:id="36"/>
    <w:bookmarkEnd w:id="37"/>
    <w:bookmarkStart w:id="38" w:name="discussion"/>
    <w:p>
      <w:pPr>
        <w:pStyle w:val="Heading1"/>
      </w:pPr>
      <w:r>
        <w:t xml:space="preserve">Discussion</w:t>
      </w:r>
    </w:p>
    <w:p>
      <w:pPr>
        <w:pStyle w:val="FirstParagraph"/>
      </w:pPr>
      <w:r>
        <w:t xml:space="preserve">Restart portfolios benefit from heavy-tailed runtimes: more independent draws raise the chance of an early lucky one, which is why oversubscribing thread count still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xfill’s real-grid results are a</w:t>
      </w:r>
      <w:r>
        <w:t xml:space="preserve"> </w:t>
      </w:r>
      <w:r>
        <w:rPr>
          <w:i/>
          <w:iCs/>
        </w:rPr>
        <w:t xml:space="preserve">finding</w:t>
      </w:r>
      <w:r>
        <w:t xml:space="preserve">-oriented result. Partitioned search instead gives genuine non-overlapping coverage, which is what a proof of unsatisfiability requires; restart-based search approximates this only through its dedicated exhaustive fallback, at the cost of forgoing restarts entirely for that one worker. The same heavy-tailedness that makes more restart-portfolio workers valuable is also the likely explanation for Fig. </w:t>
      </w:r>
      <w:hyperlink w:anchor="fig:ablation">
        <w:r>
          <w:rPr>
            <w:rStyle w:val="Hyperlink"/>
          </w:rPr>
          <w:t xml:space="preserve">4</w:t>
        </w:r>
      </w:hyperlink>
      <w:r>
        <w:t xml:space="preserve">’s mixed ablation result: shared conflict weights change which draws from the tail each worker takes, which can as easily land on a worse draw as a better one on any single hard instance, and only shows up as a net improvement once averaged over the broader, more typical corpus where Section III’s original finding was measured. Neither result is in tension with the other; they describe the same mechanism at two different points on the difficulty spectrum.</w:t>
      </w:r>
    </w:p>
    <w:bookmarkEnd w:id="38"/>
    <w:bookmarkStart w:id="39"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the Section V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We described a concurrent conflict-weight-sharing mechanism for restart-portfolio CSP search occupying a specific gap in prior work – soft rather than hard information, shared continuously rather than gathered once, never used to partition – and distinguished it from the three closest points in the literature. Implemented in xfill and evaluated on a reproducible, five-solver testbench against both sophisticated competitors and unmodified naive baselines, it contributes to a broader pattern: restart portfolios and partitioned search are suited respectively to finding solutions quickly and to proving none exist, and naive backtracking without either is not competitive at real crossword scale regardless. We also reported a negative result – five heuristics rendered indistinguishable by a precondition that kept them from ever executing – as a reusable caution for comparing branching heuristics by benchmark score alone.</w:t>
      </w:r>
    </w:p>
    <w:bookmarkEnd w:id="39"/>
    <w:bookmarkStart w:id="40" w:name="acknowledgments"/>
    <w:p>
      <w:pPr>
        <w:pStyle w:val="Heading1"/>
      </w:pPr>
      <w:r>
        <w:t xml:space="preserve">Acknowledgments</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1" Target="media/rId31.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2026-08-05T19:40:38Z</dcterms:created>
  <dcterms:modified xsi:type="dcterms:W3CDTF">2026-08-05T19:40:38Z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oversubscribing thread count past physical core count consistently helps xfill, on one hard grid by roughly 65\times from 1 to 42 threads, while orca-solver improves only marginally over the same range and cannot solve it at all below 14 threads.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vt:lpwstr>
  </property>
</Properties>
</file>