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ever executed, 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(assigning a dictionary word to every slot in a grid so every crossing letter agrees)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 In the practical workflow of a crossword constructor or puzzles section editor, automated filling tools frequently bottleneck on wide-open grid sections, significantly slowing the iterative design process for daily publications.</w:t>
      </w:r>
    </w:p>
    <w:p>
      <w:pPr>
        <w:pStyle w:val="BodyText"/>
      </w:pPr>
      <w:r>
        <w:t xml:space="preserve">This paper proposes xfill, a crossword filling algorithm that answers one question about parallel constraint search: when multiple workers run concurrently, is there value in sharing</w:t>
      </w:r>
      <w:r>
        <w:t xml:space="preserve"> </w:t>
      </w:r>
      <w:r>
        <w:rPr>
          <w:i/>
          <w:iCs/>
        </w:rPr>
        <w:t xml:space="preserve">soft</w:t>
      </w:r>
      <w:r>
        <w:t xml:space="preserve"> </w:t>
      </w:r>
      <w:r>
        <w:t xml:space="preserve">heuristic statistics (information that biases search order without asserting anything logically)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architecture.</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restart-portfolio search as an architectural class, and this specific mechanism within it;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 removing now-impossible values from other variables’ domains, 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described here.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never concurrent. Ehlers and Stuckey</w:t>
      </w:r>
      <w:r>
        <w:t xml:space="preserve"> </w:t>
      </w:r>
      <w:r>
        <w:t xml:space="preserve"> </w:t>
      </w:r>
      <w:r>
        <w:t xml:space="preserve">parallelize a lazy-clause-generation solver, concurrently sharing learnt clauses and objective bounds between workers –</w:t>
      </w:r>
      <w:r>
        <w:t xml:space="preserve"> </w:t>
      </w:r>
      <w:r>
        <w:rPr>
          <w:i/>
          <w:iCs/>
        </w:rPr>
        <w:t xml:space="preserve">hard</w:t>
      </w:r>
      <w:r>
        <w:t xml:space="preserve"> </w:t>
      </w:r>
      <w:r>
        <w:t xml:space="preserve">facts, unlike this paper’s soft weights –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using the average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concurrent, non-partitioning multi-agent search sharing hard facts (learned clauses, as in ManySAT) or concrete candidate-value hints,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by selecting the slot minimizing domain size over accumulated</w:t>
      </w:r>
      <w:r>
        <w:t xml:space="preserve"> </w:t>
      </w:r>
      <w:r>
        <w:rPr>
          <w:i/>
          <w:iCs/>
        </w:rPr>
        <w:t xml:space="preserve">crossing weight</w:t>
      </w:r>
      <w:r>
        <w:t xml:space="preserve">, then propagates letter constraints via an AC-3-style (Arc Consistency Algorithm #3)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Since a restart worker’s budget only ever grows and never discards earlier work, its search is complete in the limit too; any worker’s mathematically valid negative result therefore ends the others’ searches.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only under a single writer, since it depends on the exact sequence of prior updates; concurrent writers need a rule that ignores order entirely. The dedicated exhaustive worker is excluded because its entire value is one undisturbed trajectory. Wiring it into the shared signal regressed one grid in the corpus, and excluding the worker again did not recover that grid either: the shared signal itself, not solely the dedicated worker’s presence in it, had redirected ordinary restart workers’ own search order.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reports no unsafe concurrent access under real multi-threaded solves. In earlier development-time testing across a broad corpus of moderate-difficulty grids (</w:t>
      </w:r>
      <w:r>
        <w:rPr>
          <w:rStyle w:val="VerbatimChar"/>
        </w:rPr>
        <w:t xml:space="preserve">docs/design.md</w:t>
      </w:r>
      <w:r>
        <w:t xml:space="preserve">), this mechanism cut solve time broadly, revisited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Motivated by a</w:t>
      </w:r>
      <w:r>
        <w:t xml:space="preserve"> </w:t>
      </w:r>
      <m:oMath>
        <m:r>
          <m:t>7</m:t>
        </m:r>
        <m:r>
          <m:rPr>
            <m:sty m:val="p"/>
          </m:rPr>
          <m:t>×</m:t>
        </m:r>
        <m:r>
          <m:t>7</m:t>
        </m:r>
      </m:oMath>
      <w:r>
        <w:t xml:space="preserve"> </w:t>
      </w:r>
      <w:r>
        <w:t xml:space="preserve">grid known to be exceptionally hard for restart-based search, five letter-level branching variants were implemented (three minimum-remaining-value scoring rules, a faithful reimplementation of a partition-based solver’s own candidate scoring, and a reversed scan order), reasoning that a smaller per-node branching factor should help on wide-open grids.</w:t>
      </w:r>
    </w:p>
    <w:p>
      <w:pPr>
        <w:pStyle w:val="BodyText"/>
      </w:pPr>
      <w:r>
        <w:t xml:space="preserve">All five produced numerically identical node and backtrack counts, too strong a signal to be coincidence, prompting further investigation.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they were compared, which is why their benchmark scores could not have distinguished them. The reusable point: an A/B comparison of branching heuristics is only informative once the branch under test is confirmed, by direct instrumentation, to execute. This negative result directly informs better design practices for future parallel CSP solvers, ensuring benchmarking efforts are spent on genuinely active code paths rather than phantom optimizations.</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test two distinct claims kept separate rather than blended: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w:t>
      </w:r>
    </w:p>
    <w:p>
      <w:pPr>
        <w:pStyle w:val="BodyText"/>
      </w:pPr>
      <w:r>
        <w:rPr>
          <w:b/>
          <w:bCs/>
        </w:rPr>
        <w:t xml:space="preserve">Solvers.</w:t>
      </w:r>
      <w:r>
        <w:t xml:space="preserve"> </w:t>
      </w:r>
      <w:r>
        <w:t xml:space="preserve">xfill (this work); orca-solver</w:t>
      </w:r>
      <w:r>
        <w:t xml:space="preserve"> </w:t>
      </w:r>
      <w:r>
        <w:t xml:space="preserve">, a partition-based parallel solver treated as a black box; ingrid_core</w:t>
      </w:r>
      <w:r>
        <w:t xml:space="preserve"> </w:t>
      </w:r>
      <w:r>
        <w:t xml:space="preserve">, a single-threaded reference solver; and, as a naive baseline with no restarts, no learned heuristics, and no parallelism, crossword-composer</w:t>
      </w:r>
      <w:r>
        <w:t xml:space="preserve"> </w:t>
      </w:r>
      <w:r>
        <w:t xml:space="preserve"> </w:t>
      </w:r>
      <w:r>
        <w:t xml:space="preserve">(a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a public word list</w:t>
      </w:r>
      <w:r>
        <w:t xml:space="preserve"> </w:t>
      </w:r>
      <w:r>
        <w:t xml:space="preserve">,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valid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with one environment variable flipped (</w:t>
      </w:r>
      <w:r>
        <w:rPr>
          <w:rStyle w:val="VerbatimChar"/>
        </w:rPr>
        <w:t xml:space="preserve">XFILL_DISABLE_SHARED_WEIGHTS</w:t>
      </w:r>
      <w:r>
        <w:t xml:space="preserve"> </w:t>
      </w:r>
      <w:r>
        <w:t xml:space="preserve">on and off) and several trials each. Grids come from two independent sources, to rule out an artifact of one curated list: a fixed</w:t>
      </w:r>
      <w:r>
        <w:t xml:space="preserve"> </w:t>
      </w:r>
      <w:r>
        <w:t xml:space="preserve">“known-hard”</w:t>
      </w:r>
      <w:r>
        <w:t xml:space="preserve"> </w:t>
      </w:r>
      <w:r>
        <w:t xml:space="preserve">grid list reused from this project’s own earlier development-time benchmarking (not cherry-picked for this paper; a different subset of the same master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w:t>
      </w:r>
    </w:p>
    <w:bookmarkStart w:id="17" w:name="fig:ablation"/>
    <w:p>
      <w:pPr>
        <w:pStyle w:val="CaptionedFigure"/>
      </w:pPr>
      <w:r>
        <w:drawing>
          <wp:inline>
            <wp:extent cx="5067300" cy="923963"/>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23963"/>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trials/config, 45s cap) and three grids from the paper’s own scraped-</w:t>
      </w:r>
      <m:oMath>
        <m:r>
          <m:t>15</m:t>
        </m:r>
        <m:r>
          <m:rPr>
            <m:sty m:val="p"/>
          </m:rPr>
          <m:t>×</m:t>
        </m:r>
        <m:r>
          <m:t>15</m:t>
        </m:r>
      </m:oMath>
      <w:r>
        <w:t xml:space="preserve"> </w:t>
      </w:r>
      <w:r>
        <w:t xml:space="preserve">corpus (right three, 5 trials/config,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medians are nearly identical (0.43s vs. 0.44s) but shared weights show wider spread;</w:t>
      </w:r>
      <w:r>
        <w:t xml:space="preserve"> </w:t>
      </w:r>
      <w:r>
        <w:rPr>
          <w:rStyle w:val="VerbatimChar"/>
        </w:rPr>
        <w:t xml:space="preserve">grid_479</w:t>
      </w:r>
      <w:r>
        <w:t xml:space="preserve"> </w:t>
      </w:r>
      <w:r>
        <w:t xml:space="preserve">shows the same pattern plus a mild increase in the median (5.72s to 7.76s).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with all 5 trials hitting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from a separate wide-spread sample, as the grid where xfill uniquely completes what orca-solver cannot – a completion advantage from exactly this unreliable, default-on setup. Against Section </w:t>
      </w:r>
      <w:hyperlink w:anchor="sec:arch">
        <w:r>
          <w:rPr>
            <w:rStyle w:val="Hyperlink"/>
          </w:rPr>
          <w:t xml:space="preserve">3</w:t>
        </w:r>
      </w:hyperlink>
      <w:r>
        <w:t xml:space="preserve">’s broader-corpus finding of a consistent win, the result is regime-dependent: shared weights help on typical grids by redistributing which crossings each worker deprioritizes, but at the extreme difficulty end trade tight, well-behaved variance for a wider one that is not reliably better, and sometimes worse. There is no evidence for a uniform win, so none is claimed;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This was tested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3972593" cy="2507719"/>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3972593" cy="2507719"/>
                    </a:xfrm>
                    <a:prstGeom prst="rect">
                      <a:avLst/>
                    </a:prstGeom>
                    <a:noFill/>
                    <a:ln w="9525">
                      <a:noFill/>
                      <a:headEnd/>
                      <a:tailEnd/>
                    </a:ln>
                  </pic:spPr>
                </pic:pic>
              </a:graphicData>
            </a:graphic>
          </wp:inline>
        </w:drawing>
      </w:r>
    </w:p>
    <w:p>
      <w:pPr>
        <w:pStyle w:val="ImageCaption"/>
      </w:pPr>
      <w:r>
        <w:t xml:space="preserve">Wall time vs. thread count, xfill vs. orca-solver, on two grids known to be hard for restart-based search (45s cap; dashed line = 14 physical cores; orca-solver missing from a panel means all 7 of its thread counts timed out; a third grid, grid_115, times out for both solvers at every thread count tested and is omitted, see text).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This further test splits three ways, showing this is a property of the architecture rather than a lucky pick of grid. On</w:t>
      </w:r>
      <w:r>
        <w:t xml:space="preserve"> </w:t>
      </w:r>
      <w:r>
        <w:rPr>
          <w:rStyle w:val="VerbatimChar"/>
        </w:rPr>
        <w:t xml:space="preserve">grid_120</w:t>
      </w:r>
      <w:r>
        <w:t xml:space="preserve"> </w:t>
      </w:r>
      <w:r>
        <w:t xml:space="preserve">(Fig. </w:t>
      </w:r>
      <w:hyperlink w:anchor="fig:scaling">
        <w:r>
          <w:rPr>
            <w:rStyle w:val="Hyperlink"/>
          </w:rPr>
          <w:t xml:space="preserve">2</w:t>
        </w:r>
      </w:hyperlink>
      <w:r>
        <w:t xml:space="preserve">), xfill’s wall time falls from 27.8s at 1 thread to 0.43s at 42 (a</w:t>
      </w:r>
      <w:r>
        <w:t xml:space="preserve"> </w:t>
      </w:r>
      <m:oMath>
        <m:r>
          <m:t>65</m:t>
        </m:r>
        <m:r>
          <m:rPr>
            <m:sty m:val="p"/>
          </m:rPr>
          <m:t>×</m:t>
        </m:r>
      </m:oMath>
      <w:r>
        <w:t xml:space="preserve"> </w:t>
      </w:r>
      <w:r>
        <w:t xml:space="preserve">improvement), while orca-solver never solves it below 14 threads and only creeps from 27.3s to 17.9s from 14 to 42. On</w:t>
      </w:r>
      <w:r>
        <w:t xml:space="preserve"> </w:t>
      </w:r>
      <w:r>
        <w:rPr>
          <w:rStyle w:val="VerbatimChar"/>
        </w:rPr>
        <w:t xml:space="preserve">grid_303</w:t>
      </w:r>
      <w:r>
        <w:t xml:space="preserve"> </w:t>
      </w:r>
      <w:r>
        <w:t xml:space="preserve">(Fig. </w:t>
      </w:r>
      <w:hyperlink w:anchor="fig:scaling">
        <w:r>
          <w:rPr>
            <w:rStyle w:val="Hyperlink"/>
          </w:rPr>
          <w:t xml:space="preserve">2</w:t>
        </w:r>
      </w:hyperlink>
      <w:r>
        <w:t xml:space="preserve">), xfill solves it at 8, 14, and 42 threads, with wall time actually increasing across those three (22.9s to 38.2s), while orca-solver fails to solve it at</w:t>
      </w:r>
      <w:r>
        <w:t xml:space="preserve"> </w:t>
      </w:r>
      <w:r>
        <w:rPr>
          <w:i/>
          <w:iCs/>
        </w:rPr>
        <w:t xml:space="preserve">any</w:t>
      </w:r>
      <w:r>
        <w:t xml:space="preserve"> </w:t>
      </w:r>
      <w:r>
        <w:t xml:space="preserve">of the 7 thread counts tested, so the win here is completion, not speed. On</w:t>
      </w:r>
      <w:r>
        <w:t xml:space="preserve"> </w:t>
      </w:r>
      <w:r>
        <w:rPr>
          <w:rStyle w:val="VerbatimChar"/>
        </w:rPr>
        <w:t xml:space="preserve">grid_115</w:t>
      </w:r>
      <w:r>
        <w:t xml:space="preserve"> </w:t>
      </w:r>
      <w:r>
        <w:t xml:space="preserve">(timed out at every thread count for both solvers, so omitted from the figure), neither solver succeeds at all, and thus this one favors neither architecture. Where the pattern holds, it is because absorbing extra parallelism without restructuring the search is what a non-partitioning restart portfolio is built to do; a partition-based design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second, denser</w:t>
      </w:r>
      <w:r>
        <w:t xml:space="preserve"> </w:t>
      </w:r>
      <m:oMath>
        <m:r>
          <m:t>15</m:t>
        </m:r>
        <m:r>
          <m:rPr>
            <m:sty m:val="p"/>
          </m:rPr>
          <m:t>×</m:t>
        </m:r>
        <m:r>
          <m:t>15</m:t>
        </m:r>
      </m:oMath>
      <w:r>
        <w:t xml:space="preserve"> </w:t>
      </w:r>
      <w:r>
        <w:t xml:space="preserve">grid is marked (b)). A solved/not-solved view of this same data would show xfill, orca-solver, and ingrid_core essentially tied, since all three succeed on the same grids here: the actual difference is that xfill’s line sits one to nearly five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4" w:name="sec:naive"/>
    <w:p>
      <w:pPr>
        <w:pStyle w:val="Heading2"/>
      </w:pPr>
      <w:r>
        <w:t xml:space="preserve">Naive Backtracking Is Not a Baseline Worth Beating</w:t>
      </w:r>
    </w:p>
    <w:p>
      <w:pPr>
        <w:pStyle w:val="FirstParagraph"/>
      </w:pPr>
      <w:r>
        <w:t xml:space="preserve">Zooming out to the full sweep across all four solvers and every curated grid size (Fig. </w:t>
      </w:r>
      <w:hyperlink w:anchor="fig:size">
        <w:r>
          <w:rPr>
            <w:rStyle w:val="Hyperlink"/>
          </w:rPr>
          <w:t xml:space="preserve">3</w:t>
        </w:r>
      </w:hyperlink>
      <w:r>
        <w:t xml:space="preserve">), the same advantage holds broadly, testing directly whether crossword-composer’s losses are a genuine baseline failure or just an under-provisioned time budget. Table </w:t>
      </w:r>
      <w:hyperlink w:anchor="tab:outcomes">
        <w:r>
          <w:rPr>
            <w:rStyle w:val="Hyperlink"/>
          </w:rPr>
          <w:t xml:space="preserve">1</w:t>
        </w:r>
      </w:hyperlink>
      <w:r>
        <w:t xml:space="preserve"> </w:t>
      </w:r>
      <w:r>
        <w:t xml:space="preserve">summarizes the outcome: across all 20 grids, xfill resolved 19, orca-solver 18, ingrid_core 17, and crossword-composer only 9 – a real, unmodified, independently authored solver, not a strawman built to lose.</w:t>
      </w:r>
    </w:p>
    <w:bookmarkStart w:id="29" w:name="tab:outcomes"/>
    <w:p>
      <w:pPr>
        <w:pStyle w:val="TableCaption"/>
      </w:pPr>
      <w:r>
        <w:t xml:space="preserve">Solve Outcomes Across All 20 Grids, 1000s Cap</w:t>
      </w:r>
    </w:p>
    <w:tbl>
      <w:tblPr>
        <w:tblStyle w:val="Table"/>
        <w:tblW w:type="auto" w:w="0"/>
        <w:tblLook w:firstRow="1" w:lastRow="0" w:firstColumn="0" w:lastColumn="0" w:noHBand="0" w:noVBand="0" w:val="0020"/>
        <w:tblCaption w:val="Solve Outcomes Across All 20 Grids, 1000s Cap"/>
      </w:tblPr>
      <w:tblGrid>
        <w:gridCol w:w="1584"/>
        <w:gridCol w:w="1584"/>
        <w:gridCol w:w="1584"/>
        <w:gridCol w:w="1584"/>
        <w:gridCol w:w="1584"/>
      </w:tblGrid>
      <w:tr>
        <w:trPr>
          <w:tblHeader w:val="on"/>
        </w:trPr>
        <w:tc>
          <w:tcPr/>
          <w:p>
            <w:pPr>
              <w:pStyle w:val="Compact"/>
              <w:jc w:val="left"/>
            </w:pPr>
            <w:r>
              <w:t xml:space="preserve">Solver</w:t>
            </w:r>
          </w:p>
        </w:tc>
        <w:tc>
          <w:tcPr/>
          <w:p>
            <w:pPr>
              <w:pStyle w:val="Compact"/>
              <w:jc w:val="center"/>
            </w:pPr>
            <w:r>
              <w:t xml:space="preserve">Solved</w:t>
            </w:r>
          </w:p>
        </w:tc>
        <w:tc>
          <w:tcPr/>
          <w:p>
            <w:pPr>
              <w:pStyle w:val="Compact"/>
              <w:jc w:val="center"/>
            </w:pPr>
            <w:r>
              <w:t xml:space="preserve">UNSAT</w:t>
            </w:r>
          </w:p>
        </w:tc>
        <w:tc>
          <w:tcPr/>
          <w:p>
            <w:pPr>
              <w:pStyle w:val="Compact"/>
              <w:jc w:val="center"/>
            </w:pPr>
            <w:r>
              <w:t xml:space="preserve">Timeout</w:t>
            </w:r>
          </w:p>
        </w:tc>
        <w:tc>
          <w:tcPr/>
          <w:p>
            <w:pPr>
              <w:pStyle w:val="Compact"/>
              <w:jc w:val="center"/>
            </w:pPr>
            <w:r>
              <w:t xml:space="preserve">Resolved</w:t>
            </w:r>
          </w:p>
        </w:tc>
      </w:tr>
      <w:tr>
        <w:tc>
          <w:tcPr/>
          <w:p>
            <w:pPr>
              <w:pStyle w:val="Compact"/>
              <w:jc w:val="left"/>
            </w:pPr>
            <w:r>
              <w:t xml:space="preserve">xfill</w:t>
            </w:r>
          </w:p>
        </w:tc>
        <w:tc>
          <w:tcPr/>
          <w:p>
            <w:pPr>
              <w:pStyle w:val="Compact"/>
              <w:jc w:val="center"/>
            </w:pPr>
            <w:r>
              <w:t xml:space="preserve">18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19</w:t>
            </w:r>
          </w:p>
        </w:tc>
      </w:tr>
      <w:tr>
        <w:tc>
          <w:tcPr/>
          <w:p>
            <w:pPr>
              <w:pStyle w:val="Compact"/>
              <w:jc w:val="left"/>
            </w:pPr>
            <w:r>
              <w:t xml:space="preserve">orca-solver</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18</w:t>
            </w:r>
          </w:p>
        </w:tc>
      </w:tr>
      <w:tr>
        <w:tc>
          <w:tcPr/>
          <w:p>
            <w:pPr>
              <w:pStyle w:val="Compact"/>
              <w:jc w:val="left"/>
            </w:pPr>
            <w:r>
              <w:t xml:space="preserve">ingrid_core</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17</w:t>
            </w:r>
          </w:p>
        </w:tc>
      </w:tr>
      <w:tr>
        <w:tc>
          <w:tcPr/>
          <w:p>
            <w:pPr>
              <w:pStyle w:val="Compact"/>
              <w:jc w:val="left"/>
            </w:pPr>
            <w:r>
              <w:t xml:space="preserve">crossword-composer</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11</w:t>
            </w:r>
          </w:p>
        </w:tc>
        <w:tc>
          <w:tcPr/>
          <w:p>
            <w:pPr>
              <w:pStyle w:val="Compact"/>
              <w:jc w:val="center"/>
            </w:pPr>
            <w:r>
              <w:t xml:space="preserve">9</w:t>
            </w:r>
          </w:p>
        </w:tc>
      </w:tr>
    </w:tbl>
    <w:bookmarkEnd w:id="29"/>
    <w:p>
      <w:pPr>
        <w:pStyle w:val="BodyText"/>
      </w:pPr>
      <w:r>
        <w:t xml:space="preserve">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(the cap these figures use) changed none: every solver’s remaining timeouts fall within crossword-composer’s same 11 grids, including</w:t>
      </w:r>
      <w:r>
        <w:t xml:space="preserve"> </w:t>
      </w:r>
      <w:r>
        <w:rPr>
          <w:rStyle w:val="VerbatimChar"/>
        </w:rPr>
        <w:t xml:space="preserve">sample_13x13</w:t>
      </w:r>
      <w:r>
        <w:t xml:space="preserve"> </w:t>
      </w:r>
      <w:r>
        <w:t xml:space="preserve">(the one grid no solver resolves at any cap), and all held: evidence these are hard, not under-budgeted. The point for this paper’s thesis is narrower than</w:t>
      </w:r>
      <w:r>
        <w:t xml:space="preserve"> </w:t>
      </w:r>
      <w:r>
        <w:t xml:space="preserve">“xfill wins”</w:t>
      </w:r>
      <w:r>
        <w:t xml:space="preserve">: restarts, adaptive heuristics, and parallelism are not optional refinements at these sizes, but the premise this paper’s mechanism depends on.</w:t>
      </w:r>
    </w:p>
    <w:bookmarkStart w:id="33" w:name="fig:speedup"/>
    <w:p>
      <w:pPr>
        <w:pStyle w:val="CaptionedFigure"/>
      </w:pPr>
      <w:r>
        <w:drawing>
          <wp:inline>
            <wp:extent cx="4907280" cy="1847371"/>
            <wp:effectExtent b="0" l="0" r="0" t="0"/>
            <wp:docPr descr="" title="" id="31" name="Picture"/>
            <a:graphic>
              <a:graphicData uri="http://schemas.openxmlformats.org/drawingml/2006/picture">
                <pic:pic>
                  <pic:nvPicPr>
                    <pic:cNvPr descr="../benchmarks/urtc2026_testbench/results/figures/fig1b_speedup.png" id="32" name="Picture"/>
                    <pic:cNvPicPr>
                      <a:picLocks noChangeArrowheads="1" noChangeAspect="1"/>
                    </pic:cNvPicPr>
                  </pic:nvPicPr>
                  <pic:blipFill>
                    <a:blip r:embed="rId30"/>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3"/>
    <w:bookmarkEnd w:id="34"/>
    <w:bookmarkStart w:id="35"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using realistic-scale grids, rather than the curated size-graded set, which mixes in small grids that inflate the ratio. Of the 11 scraped grids (of 12) both xfill and orca-solver solve, xfill is faster on 9 and slower on 2 (</w:t>
      </w:r>
      <w:r>
        <w:rPr>
          <w:rStyle w:val="VerbatimChar"/>
        </w:rPr>
        <w:t xml:space="preserve">grid_395</w:t>
      </w:r>
      <w:r>
        <w:t xml:space="preserve"> </w:t>
      </w:r>
      <w:r>
        <w:t xml:space="preserve">and</w:t>
      </w:r>
      <w:r>
        <w:t xml:space="preserve"> </w:t>
      </w:r>
      <w:r>
        <w:rPr>
          <w:rStyle w:val="VerbatimChar"/>
        </w:rPr>
        <w:t xml:space="preserve">grid_479</w:t>
      </w:r>
      <w:r>
        <w:t xml:space="preserve">, by</w:t>
      </w:r>
      <w:r>
        <w:t xml:space="preserve"> </w:t>
      </w:r>
      <m:oMath>
        <m:r>
          <m:t>5.4</m:t>
        </m:r>
        <m:r>
          <m:rPr>
            <m:sty m:val="p"/>
          </m:rPr>
          <m:t>×</m:t>
        </m:r>
      </m:oMath>
      <w:r>
        <w:t xml:space="preserve"> </w:t>
      </w:r>
      <w:r>
        <w:t xml:space="preserve">and</w:t>
      </w:r>
      <w:r>
        <w:t xml:space="preserve"> </w:t>
      </w:r>
      <m:oMath>
        <m:r>
          <m:t>1.6</m:t>
        </m:r>
        <m:r>
          <m:rPr>
            <m:sty m:val="p"/>
          </m:rPr>
          <m:t>×</m:t>
        </m:r>
      </m:oMath>
      <w:r>
        <w:t xml:space="preserve">); across all 11, the median speedup is</w:t>
      </w:r>
      <w:r>
        <w:t xml:space="preserve"> </w:t>
      </w:r>
      <m:oMath>
        <m:r>
          <m:t>494</m:t>
        </m:r>
        <m:r>
          <m:rPr>
            <m:sty m:val="p"/>
          </m:rPr>
          <m:t>×</m:t>
        </m:r>
      </m:oMath>
      <w:r>
        <w:t xml:space="preserve"> </w:t>
      </w:r>
      <w:r>
        <w:t xml:space="preserve">and the geometric mean</w:t>
      </w:r>
      <w:r>
        <w:t xml:space="preserve"> </w:t>
      </w:r>
      <m:oMath>
        <m:r>
          <m:t>107</m:t>
        </m:r>
        <m:r>
          <m:rPr>
            <m:sty m:val="p"/>
          </m:rPr>
          <m:t>×</m:t>
        </m:r>
      </m:oMath>
      <w:r>
        <w:t xml:space="preserve">. This is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thus representing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There is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5"/>
    <w:bookmarkEnd w:id="36"/>
    <w:bookmarkStart w:id="37" w:name="discussion"/>
    <w:p>
      <w:pPr>
        <w:pStyle w:val="Heading1"/>
      </w:pPr>
      <w:r>
        <w:t xml:space="preserve">Discussion</w:t>
      </w:r>
    </w:p>
    <w:p>
      <w:pPr>
        <w:pStyle w:val="FirstParagraph"/>
      </w:pPr>
      <w:r>
        <w:t xml:space="preserve">Both results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succeeding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p>
      <w:pPr>
        <w:pStyle w:val="BodyText"/>
      </w:pPr>
      <w:r>
        <w:t xml:space="preserve">Five branching heuristics (Section </w:t>
      </w:r>
      <w:hyperlink w:anchor="sec:negative">
        <w:r>
          <w:rPr>
            <w:rStyle w:val="Hyperlink"/>
          </w:rPr>
          <w:t xml:space="preserve">4</w:t>
        </w:r>
      </w:hyperlink>
      <w:r>
        <w:t xml:space="preserve">) looked interchangeable only because none ever executed on the grid that motivated them, a gap direct instrumentation closed but benchmark-score comparison alone would have missed. The same standard applies to the ablation in Section </w:t>
      </w:r>
      <w:hyperlink w:anchor="sec:ablation">
        <w:r>
          <w:rPr>
            <w:rStyle w:val="Hyperlink"/>
          </w:rPr>
          <w:t xml:space="preserve">5.2</w:t>
        </w:r>
      </w:hyperlink>
      <w:r>
        <w:t xml:space="preserve">: reporting the broad-corpus win alone, without also checking the harder grids directly, would have missed the regime-dependence that turned out to matter most. In both cases, the paper’s numbers were trustworthy only once verified against what the code actually did, not just its aggregate score.</w:t>
      </w:r>
    </w:p>
    <w:bookmarkEnd w:id="37"/>
    <w:bookmarkStart w:id="38" w:name="limitations"/>
    <w:p>
      <w:pPr>
        <w:pStyle w:val="Heading1"/>
      </w:pPr>
      <w:r>
        <w:t xml:space="preserve">Limitations</w:t>
      </w:r>
    </w:p>
    <w:p>
      <w:pPr>
        <w:pStyle w:val="FirstParagraph"/>
      </w:pPr>
      <w:r>
        <w:t xml:space="preserve">All timing results are from one 14-core machine and one dictionary derived from a single external word list; the thread-scaling numbers should not be read as hardware- or dictionary-independent claims. The architectural comparison also rests on one partition-based representative, orca-solver, chosen for being fast, open-source, and actively maintained rather than through a systematic survey of partition-based solvers; results may not generalize to every such implementation. ingrid_core is likewise active; the version or commit used for each solver is recorded in the testbench README.</w:t>
      </w:r>
    </w:p>
    <w:bookmarkEnd w:id="38"/>
    <w:bookmarkStart w:id="39" w:name="conclusion"/>
    <w:p>
      <w:pPr>
        <w:pStyle w:val="Heading1"/>
      </w:pPr>
      <w:r>
        <w:t xml:space="preserve">Conclusion</w:t>
      </w:r>
    </w:p>
    <w:p>
      <w:pPr>
        <w:pStyle w:val="FirstParagraph"/>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restart portfolios suit finding solutions quickly, partitioned search suits proving none exist, a pattern independent of any one solver. The mechanism itself, tested in isolation, is more modest than the architecture it sits inside: a real win on typical grids, a wash or worse on the hardest ones, reported as measured rather than as hoped. A negative result was also reported from the same codebase, in which five heuristics were rendered indistinguishable by a precondition that kept them from ever executing, illustrating a reusable caution for comparing branching heuristics by benchmark score alone. Although xfill is built for crossword filling, its mechanism is not: it needs only a dom/wdeg-style weight table and a restart loop, both common in CSP and lazy-clause-generation solvers, so the same approach could extend to other CSPs, the combination that Section </w:t>
      </w:r>
      <w:hyperlink w:anchor="sec:relwork">
        <w:r>
          <w:rPr>
            <w:rStyle w:val="Hyperlink"/>
          </w:rPr>
          <w:t xml:space="preserve">2</w:t>
        </w:r>
      </w:hyperlink>
      <w:r>
        <w:t xml:space="preserve"> </w:t>
      </w:r>
      <w:r>
        <w:t xml:space="preserve">found no prior system using.</w:t>
      </w:r>
    </w:p>
    <w:p>
      <w:pPr>
        <w:pStyle w:val="BodyText"/>
      </w:pPr>
      <w:r>
        <w:t xml:space="preserve">Future work could test that extension directly, in a non-crossword CSP domain such as graph coloring, Sudoku, or job-shop scheduling (assigning factory jobs to machines and time slots without conflicts), where a wdeg-style solver already exists and only the shared-weight array would need to be added. This could significantly accelerate resource-constrained scheduling tasks without requiring heavy synchronization overhead. It could also broaden the architectural comparison to other partition-based solvers, and re-run the ablation on a genuinely independent machine and dictionary, to separate what is specific to this setup from what generalizes.</w:t>
      </w:r>
    </w:p>
    <w:bookmarkEnd w:id="39"/>
    <w:bookmarkStart w:id="46" w:name="acknowledgment"/>
    <w:p>
      <w:pPr>
        <w:pStyle w:val="Heading1"/>
      </w:pPr>
      <w:r>
        <w:t xml:space="preserve">Acknowledgment</w:t>
      </w:r>
    </w:p>
    <w:p>
      <w:pPr>
        <w:pStyle w:val="FirstParagraph"/>
      </w:pPr>
      <w:r>
        <w:t xml:space="preserve">The author used Claude Code (Anthropic), an AI coding assistant, to help build this project. The author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720–734.</w:t>
      </w:r>
    </w:p>
    <w:p>
      <w:pPr>
        <w:pStyle w:val="BodyText"/>
      </w:pPr>
      <w:r>
        <w:t xml:space="preserve">I. P. Gent, I. Miguel, P. Nightingale, C. McCreesh, P. Prosser, N. C. A.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40">
        <w:r>
          <w:rPr>
            <w:rStyle w:val="Hyperlink"/>
          </w:rPr>
          <w:t xml:space="preserve">https://crosswordgrids.com/15x15-crossword-grids</w:t>
        </w:r>
      </w:hyperlink>
    </w:p>
    <w:p>
      <w:pPr>
        <w:pStyle w:val="BodyText"/>
      </w:pPr>
      <w:r>
        <w:t xml:space="preserve">B. Husic and E. Henestroza Anguiano.</w:t>
      </w:r>
      <w:r>
        <w:t xml:space="preserve"> </w:t>
      </w:r>
      <w:r>
        <w:t xml:space="preserve">“Spread the word(list).”</w:t>
      </w:r>
      <w:r>
        <w:t xml:space="preserve"> </w:t>
      </w:r>
      <w:r>
        <w:t xml:space="preserve">Spreadthewordlist.com. Accessed: Jul. 22, 2026. [Online.] Available:</w:t>
      </w:r>
      <w:r>
        <w:t xml:space="preserve"> </w:t>
      </w:r>
      <w:hyperlink r:id="rId41">
        <w:r>
          <w:rPr>
            <w:rStyle w:val="Hyperlink"/>
          </w:rPr>
          <w:t xml:space="preserve">https://www.spreadthewordlist.com/</w:t>
        </w:r>
      </w:hyperlink>
    </w:p>
    <w:p>
      <w:pPr>
        <w:pStyle w:val="BodyText"/>
      </w:pPr>
      <w:r>
        <w:t xml:space="preserve">J. Hawksley.</w:t>
      </w:r>
      <w:r>
        <w:t xml:space="preserve"> </w:t>
      </w:r>
      <w:r>
        <w:rPr>
          <w:i/>
          <w:iCs/>
        </w:rPr>
        <w:t xml:space="preserve">orca-solver</w:t>
      </w:r>
      <w:r>
        <w:t xml:space="preserve">. (2026). Version 0.3.0. Accessed: Aug. 5, 2026. [Online]. Available:</w:t>
      </w:r>
      <w:r>
        <w:t xml:space="preserve"> </w:t>
      </w:r>
      <w:hyperlink r:id="rId42">
        <w:r>
          <w:rPr>
            <w:rStyle w:val="Hyperlink"/>
          </w:rPr>
          <w:t xml:space="preserve">https://github.com/rainjacket/orca-solver</w:t>
        </w:r>
      </w:hyperlink>
    </w:p>
    <w:p>
      <w:pPr>
        <w:pStyle w:val="BodyText"/>
      </w:pPr>
      <w:r>
        <w:t xml:space="preserve">R. Fitzgerald.</w:t>
      </w:r>
      <w:r>
        <w:t xml:space="preserve"> </w:t>
      </w:r>
      <w:r>
        <w:rPr>
          <w:i/>
          <w:iCs/>
        </w:rPr>
        <w:t xml:space="preserve">ingrid_core</w:t>
      </w:r>
      <w:r>
        <w:t xml:space="preserve">. (2026). Version 1.3.1. Accessed: Aug. 5, 2026. [Online]. Available:</w:t>
      </w:r>
      <w:r>
        <w:t xml:space="preserve"> </w:t>
      </w:r>
      <w:hyperlink r:id="rId43">
        <w:r>
          <w:rPr>
            <w:rStyle w:val="Hyperlink"/>
          </w:rPr>
          <w:t xml:space="preserve">https://github.com/rf-/ingrid_core</w:t>
        </w:r>
      </w:hyperlink>
    </w:p>
    <w:p>
      <w:pPr>
        <w:pStyle w:val="BodyText"/>
      </w:pPr>
      <w:r>
        <w:t xml:space="preserve">P. Butler.</w:t>
      </w:r>
      <w:r>
        <w:t xml:space="preserve"> </w:t>
      </w:r>
      <w:r>
        <w:rPr>
          <w:i/>
          <w:iCs/>
        </w:rPr>
        <w:t xml:space="preserve">crossword-composer</w:t>
      </w:r>
      <w:r>
        <w:t xml:space="preserve">. (2026). Commit 912c5ee. Accessed: Aug. 5, 2026. [Online]. Available:</w:t>
      </w:r>
      <w:r>
        <w:t xml:space="preserve"> </w:t>
      </w:r>
      <w:hyperlink r:id="rId44">
        <w:r>
          <w:rPr>
            <w:rStyle w:val="Hyperlink"/>
          </w:rPr>
          <w:t xml:space="preserve">https://github.com/paulgb/crossword-composer</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45">
        <w:r>
          <w:rPr>
            <w:rStyle w:val="Hyperlink"/>
          </w:rPr>
          <w:t xml:space="preserve">https://github.com/ls1881/crossword-filler</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rf-/ingrid_core" TargetMode="External" /><Relationship Type="http://schemas.openxmlformats.org/officeDocument/2006/relationships/hyperlink" Id="rId41" Target="https://www.spreadthewordlist.com/" TargetMode="External" /></Relationships>
</file>

<file path=word/_rels/footnotes.xml.rels><?xml version="1.0" encoding="UTF-8"?><Relationships xmlns="http://schemas.openxmlformats.org/package/2006/relationships"><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rf-/ingrid_core" TargetMode="External" /><Relationship Type="http://schemas.openxmlformats.org/officeDocument/2006/relationships/hyperlink" Id="rId41" Target="https://www.spreadthewordlis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2026-08-09T02:37:37Z</dcterms:created>
  <dcterms:modified xsi:type="dcterms:W3CDTF">2026-08-09T02:37:37Z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partition the search space across workers or run an undivided portfolio of independent restarts; the closest prior work to combine the two treats sharing as a one-time input to partitioning, not an ongoing signal.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 alternative. Oversubscribing thread count improves xfill roughly 65 times on one hard grid, while orca-solver improves only marginally and cannot solve it below 14 threads. On 12 valid 15x15 grids, xfill solves every one, and is faster on 9 of the 11 where orca-solver also succeeds; across all 11, the geometric mean speedup is 107 times. Partitioning, conversely, gives non-overlapping coverage useful for proving unsatisfiability. Isolating the mechanism itself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ever executed, caught only by direct instrumentation, not benchmark comparison.</vt:lpwstr>
  </property>
</Properties>
</file>